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6FA316A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DB2605">
        <w:rPr>
          <w:b/>
          <w:color w:val="000000" w:themeColor="text1"/>
          <w:sz w:val="24"/>
          <w:szCs w:val="24"/>
          <w:lang w:eastAsia="ko-KR"/>
        </w:rPr>
        <w:t>4</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E0141E">
        <w:rPr>
          <w:rFonts w:asciiTheme="minorEastAsia" w:eastAsiaTheme="minorEastAsia" w:hAnsiTheme="minorEastAsia"/>
          <w:b/>
          <w:color w:val="000000" w:themeColor="text1"/>
          <w:sz w:val="24"/>
          <w:szCs w:val="24"/>
          <w:lang w:eastAsia="ko-KR"/>
        </w:rPr>
        <w:t>01083</w:t>
      </w:r>
    </w:p>
    <w:bookmarkEnd w:id="0"/>
    <w:p w14:paraId="232823A7" w14:textId="2CA12752"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DB2605">
        <w:rPr>
          <w:rFonts w:eastAsia="SimSun" w:cs="Arial"/>
          <w:b/>
          <w:bCs/>
          <w:color w:val="000000" w:themeColor="text1"/>
          <w:sz w:val="24"/>
          <w:szCs w:val="24"/>
          <w:lang w:eastAsia="zh-CN"/>
        </w:rPr>
        <w:t>January</w:t>
      </w:r>
      <w:r w:rsidR="00F76C3B" w:rsidRPr="00122191">
        <w:rPr>
          <w:rFonts w:eastAsia="SimSun" w:cs="Arial"/>
          <w:b/>
          <w:bCs/>
          <w:color w:val="000000" w:themeColor="text1"/>
          <w:sz w:val="24"/>
          <w:szCs w:val="24"/>
          <w:lang w:eastAsia="zh-CN"/>
        </w:rPr>
        <w:t xml:space="preserve"> </w:t>
      </w:r>
      <w:r w:rsidR="00122191" w:rsidRPr="00122191">
        <w:rPr>
          <w:rFonts w:eastAsia="SimSun" w:cs="Arial"/>
          <w:b/>
          <w:bCs/>
          <w:color w:val="000000" w:themeColor="text1"/>
          <w:sz w:val="24"/>
          <w:szCs w:val="24"/>
          <w:lang w:eastAsia="zh-CN"/>
        </w:rPr>
        <w:t>2</w:t>
      </w:r>
      <w:r w:rsidR="00DB2605">
        <w:rPr>
          <w:rFonts w:eastAsia="SimSun" w:cs="Arial"/>
          <w:b/>
          <w:bCs/>
          <w:color w:val="000000" w:themeColor="text1"/>
          <w:sz w:val="24"/>
          <w:szCs w:val="24"/>
          <w:lang w:eastAsia="zh-CN"/>
        </w:rPr>
        <w:t>5</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DB2605">
        <w:rPr>
          <w:rFonts w:eastAsia="SimSun" w:cs="Arial"/>
          <w:b/>
          <w:bCs/>
          <w:color w:val="000000" w:themeColor="text1"/>
          <w:sz w:val="24"/>
          <w:szCs w:val="24"/>
          <w:lang w:eastAsia="zh-CN"/>
        </w:rPr>
        <w:t>February</w:t>
      </w:r>
      <w:r w:rsidR="00122191" w:rsidRPr="00122191">
        <w:rPr>
          <w:rFonts w:eastAsia="SimSun" w:cs="Arial"/>
          <w:b/>
          <w:bCs/>
          <w:color w:val="000000" w:themeColor="text1"/>
          <w:sz w:val="24"/>
          <w:szCs w:val="24"/>
          <w:lang w:eastAsia="zh-CN"/>
        </w:rPr>
        <w:t xml:space="preserve"> </w:t>
      </w:r>
      <w:r w:rsidR="00DB2605">
        <w:rPr>
          <w:rFonts w:eastAsia="SimSun" w:cs="Arial"/>
          <w:b/>
          <w:bCs/>
          <w:color w:val="000000" w:themeColor="text1"/>
          <w:sz w:val="24"/>
          <w:szCs w:val="24"/>
          <w:lang w:eastAsia="zh-CN"/>
        </w:rPr>
        <w:t>5</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4B5E50D7" w:rsidR="0078406A" w:rsidRDefault="00222C1D" w:rsidP="00947E6C">
      <w:pPr>
        <w:pStyle w:val="2"/>
        <w:spacing w:after="120"/>
      </w:pPr>
      <w:r>
        <w:rPr>
          <w:rFonts w:hint="eastAsia"/>
        </w:rPr>
        <w:t>D</w:t>
      </w:r>
      <w:r>
        <w:t>etails on resource multiplexing</w:t>
      </w:r>
      <w:r w:rsidR="00405901">
        <w:t xml:space="preserve"> for simultaneous operations</w:t>
      </w:r>
    </w:p>
    <w:p w14:paraId="1E649F11" w14:textId="49AEF768" w:rsidR="0078406A" w:rsidRDefault="009A430B" w:rsidP="00E31EB4">
      <w:pPr>
        <w:pStyle w:val="maintext"/>
        <w:ind w:firstLine="440"/>
      </w:pPr>
      <w:bookmarkStart w:id="2" w:name="_Hlk61277188"/>
      <w:r>
        <w:rPr>
          <w:rFonts w:hint="eastAsia"/>
        </w:rPr>
        <w:t>T</w:t>
      </w:r>
      <w:r>
        <w:t>he following agreements and FFS points</w:t>
      </w:r>
      <w:r w:rsidR="00E31EB4">
        <w:t xml:space="preserve"> on IAB resource multiplexing</w:t>
      </w:r>
      <w:r>
        <w:t xml:space="preserve"> had bee</w:t>
      </w:r>
      <w:r w:rsidR="00FF700B">
        <w:t xml:space="preserve">n made in RAN1#103-e meeting </w:t>
      </w:r>
      <w:bookmarkEnd w:id="2"/>
      <w:r w:rsidR="00FF700B">
        <w:fldChar w:fldCharType="begin"/>
      </w:r>
      <w:r w:rsidR="00FF700B">
        <w:instrText xml:space="preserve"> REF _Ref61254254 \r \h </w:instrText>
      </w:r>
      <w:r w:rsidR="00FF700B">
        <w:fldChar w:fldCharType="separate"/>
      </w:r>
      <w:r w:rsidR="00FF700B">
        <w:t>[1]</w:t>
      </w:r>
      <w:r w:rsidR="00FF700B">
        <w:fldChar w:fldCharType="end"/>
      </w:r>
      <w:r w:rsidR="00FF700B">
        <w:t>:</w:t>
      </w:r>
    </w:p>
    <w:p w14:paraId="6D66CE09" w14:textId="5FCA6D21" w:rsidR="00C50387" w:rsidRDefault="00C50387" w:rsidP="00C50387">
      <w:pPr>
        <w:pStyle w:val="a8"/>
        <w:keepNext/>
        <w:spacing w:after="120"/>
      </w:pPr>
      <w:r>
        <w:t xml:space="preserve">Table </w:t>
      </w:r>
      <w:fldSimple w:instr=" SEQ Table \* ARABIC ">
        <w:r w:rsidR="00F4781E">
          <w:rPr>
            <w:noProof/>
          </w:rPr>
          <w:t>1</w:t>
        </w:r>
      </w:fldSimple>
      <w:r>
        <w:t>. Agreements from RAN1#103-e</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63030916" w14:textId="77777777" w:rsidR="00C21AD7" w:rsidRPr="00C21AD7" w:rsidRDefault="00C21AD7" w:rsidP="00C21AD7">
            <w:pPr>
              <w:widowControl/>
              <w:wordWrap/>
              <w:autoSpaceDE/>
              <w:autoSpaceDN/>
              <w:spacing w:afterLines="0" w:after="0"/>
              <w:jc w:val="left"/>
              <w:rPr>
                <w:rFonts w:eastAsia="Calibri" w:cs="Times"/>
                <w:b/>
                <w:bCs/>
                <w:szCs w:val="20"/>
                <w:highlight w:val="green"/>
                <w:lang w:eastAsia="en-US"/>
              </w:rPr>
            </w:pPr>
            <w:r w:rsidRPr="00C21AD7">
              <w:rPr>
                <w:rFonts w:eastAsia="Calibri" w:cs="Times"/>
                <w:b/>
                <w:bCs/>
                <w:szCs w:val="20"/>
                <w:highlight w:val="green"/>
                <w:lang w:eastAsia="en-US"/>
              </w:rPr>
              <w:t>Agreement</w:t>
            </w:r>
          </w:p>
          <w:p w14:paraId="068081C3" w14:textId="77777777" w:rsidR="00C21AD7" w:rsidRPr="00C21AD7" w:rsidRDefault="00C21AD7" w:rsidP="00C21AD7">
            <w:pPr>
              <w:widowControl/>
              <w:wordWrap/>
              <w:autoSpaceDE/>
              <w:autoSpaceDN/>
              <w:spacing w:afterLines="0" w:after="0"/>
              <w:jc w:val="left"/>
              <w:rPr>
                <w:rFonts w:eastAsia="바탕"/>
                <w:szCs w:val="24"/>
                <w:lang w:eastAsia="x-none"/>
              </w:rPr>
            </w:pPr>
            <w:r w:rsidRPr="00C21AD7">
              <w:rPr>
                <w:rFonts w:eastAsia="Times New Roman"/>
                <w:szCs w:val="24"/>
                <w:lang w:eastAsia="x-none"/>
              </w:rPr>
              <w:t xml:space="preserve">The Rel-16 IAB-DU resource types (Soft/Hard/NA) are the starting point for supporting resource multiplexing for simultaneous operation cases in Rel-17. </w:t>
            </w:r>
          </w:p>
          <w:p w14:paraId="0AFED77B"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 xml:space="preserve">FFS: Whether resource type definitions need to be extended to frequency domain resources </w:t>
            </w:r>
          </w:p>
          <w:p w14:paraId="6D9D41A7"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Coexistence of simultaneous operation resources and TDM resources</w:t>
            </w:r>
          </w:p>
          <w:p w14:paraId="44EC97CF"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Whether new rules governing cell-specific/semi-static signals and channels at the IAB-DU and/or IAB-MT in case of simultaneous operation are necessary</w:t>
            </w:r>
          </w:p>
          <w:p w14:paraId="4388A8A8" w14:textId="77777777" w:rsidR="00C21AD7" w:rsidRPr="00C21AD7" w:rsidRDefault="00C21AD7" w:rsidP="00C21AD7">
            <w:pPr>
              <w:widowControl/>
              <w:wordWrap/>
              <w:autoSpaceDE/>
              <w:autoSpaceDN/>
              <w:spacing w:afterLines="0" w:after="0"/>
              <w:jc w:val="left"/>
              <w:rPr>
                <w:rFonts w:eastAsia="바탕" w:cs="Times"/>
                <w:szCs w:val="24"/>
                <w:lang w:eastAsia="x-none"/>
              </w:rPr>
            </w:pPr>
          </w:p>
          <w:p w14:paraId="6CBB014E" w14:textId="77777777" w:rsidR="00C21AD7" w:rsidRPr="00C21AD7" w:rsidRDefault="00C21AD7" w:rsidP="00C21AD7">
            <w:pPr>
              <w:widowControl/>
              <w:wordWrap/>
              <w:autoSpaceDE/>
              <w:autoSpaceDN/>
              <w:spacing w:afterLines="0" w:after="0"/>
              <w:jc w:val="left"/>
              <w:rPr>
                <w:rFonts w:eastAsia="Calibri" w:cs="Times"/>
                <w:b/>
                <w:bCs/>
                <w:szCs w:val="20"/>
                <w:highlight w:val="green"/>
                <w:lang w:eastAsia="en-US"/>
              </w:rPr>
            </w:pPr>
            <w:r w:rsidRPr="00C21AD7">
              <w:rPr>
                <w:rFonts w:eastAsia="Calibri" w:cs="Times"/>
                <w:b/>
                <w:bCs/>
                <w:szCs w:val="20"/>
                <w:highlight w:val="green"/>
                <w:lang w:eastAsia="en-US"/>
              </w:rPr>
              <w:t>Agreement</w:t>
            </w:r>
          </w:p>
          <w:p w14:paraId="5D2E0A17" w14:textId="77777777" w:rsidR="00C21AD7" w:rsidRPr="00C21AD7" w:rsidRDefault="00C21AD7" w:rsidP="00C21AD7">
            <w:pPr>
              <w:widowControl/>
              <w:wordWrap/>
              <w:autoSpaceDE/>
              <w:autoSpaceDN/>
              <w:spacing w:afterLines="0" w:after="0"/>
              <w:jc w:val="left"/>
              <w:rPr>
                <w:rFonts w:eastAsia="바탕"/>
                <w:szCs w:val="24"/>
                <w:lang w:eastAsia="x-none"/>
              </w:rPr>
            </w:pPr>
            <w:r w:rsidRPr="00C21AD7">
              <w:rPr>
                <w:rFonts w:eastAsia="Times New Roman"/>
                <w:szCs w:val="24"/>
                <w:lang w:eastAsia="x-none"/>
              </w:rPr>
              <w:t>Further consider different applicability restrictions/conditions for simultaneous operation multiplexing cases:</w:t>
            </w:r>
          </w:p>
          <w:p w14:paraId="4A45FED4"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Whether a given case is only applicable for certain resource types or combinations: e.g. DL access, DL backhaul, UL access, UL backhaul</w:t>
            </w:r>
          </w:p>
          <w:p w14:paraId="7A4DE91F"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Network (including parent node) awareness of a child IAB node’s ability to support simultaneous operation due to short-term and long-term factors including panel selection, interference, timing, transmit power, capability indication etc.</w:t>
            </w:r>
          </w:p>
          <w:p w14:paraId="19F54FDD"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Necessary differentiation for paired spectrum vs. unpaired spectrum</w:t>
            </w:r>
          </w:p>
          <w:p w14:paraId="73057FAA"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Whether specific enhancements are defined for full-duplex cases vs. being left to implementation (as in Rel-16)</w:t>
            </w:r>
          </w:p>
          <w:p w14:paraId="34FF874F"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lang w:eastAsia="x-none"/>
              </w:rPr>
            </w:pPr>
            <w:r w:rsidRPr="00C21AD7">
              <w:rPr>
                <w:rFonts w:eastAsia="Calibri" w:cs="Times"/>
                <w:color w:val="000000"/>
                <w:szCs w:val="24"/>
                <w:lang w:eastAsia="x-none"/>
              </w:rPr>
              <w:t>Note: There should not be any impact on legacy UE behavior</w:t>
            </w:r>
          </w:p>
          <w:p w14:paraId="49F6A090" w14:textId="77777777" w:rsidR="00C21AD7" w:rsidRPr="00C21AD7" w:rsidRDefault="00C21AD7" w:rsidP="00C21AD7">
            <w:pPr>
              <w:widowControl/>
              <w:wordWrap/>
              <w:autoSpaceDE/>
              <w:autoSpaceDN/>
              <w:spacing w:afterLines="0" w:after="0"/>
              <w:jc w:val="left"/>
              <w:rPr>
                <w:rFonts w:eastAsia="바탕" w:cs="Times"/>
                <w:szCs w:val="24"/>
                <w:lang w:eastAsia="x-none"/>
              </w:rPr>
            </w:pPr>
          </w:p>
          <w:p w14:paraId="157A9D5D" w14:textId="77777777" w:rsidR="00C21AD7" w:rsidRPr="00C21AD7" w:rsidRDefault="00C21AD7" w:rsidP="00C21AD7">
            <w:pPr>
              <w:widowControl/>
              <w:wordWrap/>
              <w:autoSpaceDE/>
              <w:autoSpaceDN/>
              <w:spacing w:afterLines="0" w:after="0"/>
              <w:jc w:val="left"/>
              <w:rPr>
                <w:rFonts w:eastAsia="Calibri" w:cs="Times"/>
                <w:b/>
                <w:bCs/>
                <w:szCs w:val="20"/>
                <w:highlight w:val="green"/>
                <w:lang w:eastAsia="en-US"/>
              </w:rPr>
            </w:pPr>
            <w:r w:rsidRPr="00C21AD7">
              <w:rPr>
                <w:rFonts w:eastAsia="Calibri" w:cs="Times"/>
                <w:b/>
                <w:bCs/>
                <w:szCs w:val="20"/>
                <w:highlight w:val="green"/>
                <w:lang w:eastAsia="en-US"/>
              </w:rPr>
              <w:t>Agreement</w:t>
            </w:r>
          </w:p>
          <w:p w14:paraId="1BF3C597" w14:textId="77777777" w:rsidR="00C21AD7" w:rsidRPr="00C21AD7" w:rsidRDefault="00C21AD7" w:rsidP="00C21AD7">
            <w:pPr>
              <w:widowControl/>
              <w:wordWrap/>
              <w:autoSpaceDE/>
              <w:autoSpaceDN/>
              <w:spacing w:afterLines="0" w:after="0"/>
              <w:jc w:val="left"/>
              <w:rPr>
                <w:rFonts w:eastAsia="바탕"/>
                <w:szCs w:val="24"/>
                <w:lang w:eastAsia="x-none"/>
              </w:rPr>
            </w:pPr>
            <w:r w:rsidRPr="00C21AD7">
              <w:rPr>
                <w:rFonts w:eastAsia="Times New Roman"/>
                <w:szCs w:val="24"/>
                <w:lang w:eastAsia="x-none"/>
              </w:rPr>
              <w:t xml:space="preserve">The Rel-16 explicit indication of soft resources by DCI Format 2_5 is supported for simultaneous operation cases in Rel-17. </w:t>
            </w:r>
          </w:p>
          <w:p w14:paraId="71EFEC4C"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Whether/how to extend DCI Format 2_5 to frequency domain resources and/or paired spectrum</w:t>
            </w:r>
          </w:p>
          <w:p w14:paraId="1C491387" w14:textId="77777777" w:rsidR="00C21AD7" w:rsidRPr="00C21AD7" w:rsidRDefault="00C21AD7" w:rsidP="00C21AD7">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Coexistence of simultaneous operation resources and TDM resources</w:t>
            </w:r>
          </w:p>
          <w:p w14:paraId="54E92347" w14:textId="77777777" w:rsidR="00C21AD7" w:rsidRPr="00C21AD7" w:rsidRDefault="00C21AD7" w:rsidP="00C21AD7">
            <w:pPr>
              <w:widowControl/>
              <w:wordWrap/>
              <w:autoSpaceDE/>
              <w:autoSpaceDN/>
              <w:spacing w:afterLines="0" w:after="0"/>
              <w:jc w:val="left"/>
              <w:rPr>
                <w:rFonts w:eastAsia="바탕"/>
                <w:szCs w:val="24"/>
                <w:lang w:eastAsia="x-none"/>
              </w:rPr>
            </w:pPr>
          </w:p>
          <w:p w14:paraId="0EFB4D23" w14:textId="77777777" w:rsidR="00C21AD7" w:rsidRPr="00C21AD7" w:rsidRDefault="00C21AD7" w:rsidP="00C21AD7">
            <w:pPr>
              <w:widowControl/>
              <w:wordWrap/>
              <w:autoSpaceDE/>
              <w:autoSpaceDN/>
              <w:spacing w:afterLines="0" w:after="0"/>
              <w:jc w:val="left"/>
              <w:rPr>
                <w:rFonts w:eastAsia="Calibri" w:cs="Times"/>
                <w:b/>
                <w:bCs/>
                <w:szCs w:val="20"/>
                <w:highlight w:val="green"/>
                <w:lang w:eastAsia="en-US"/>
              </w:rPr>
            </w:pPr>
            <w:r w:rsidRPr="00C21AD7">
              <w:rPr>
                <w:rFonts w:eastAsia="Calibri" w:cs="Times"/>
                <w:b/>
                <w:bCs/>
                <w:szCs w:val="20"/>
                <w:highlight w:val="green"/>
                <w:lang w:eastAsia="en-US"/>
              </w:rPr>
              <w:t>Agreement</w:t>
            </w:r>
          </w:p>
          <w:p w14:paraId="59CAF23C" w14:textId="77777777" w:rsidR="00C21AD7" w:rsidRPr="00C21AD7" w:rsidRDefault="00C21AD7" w:rsidP="00C21AD7">
            <w:pPr>
              <w:widowControl/>
              <w:wordWrap/>
              <w:autoSpaceDE/>
              <w:autoSpaceDN/>
              <w:spacing w:afterLines="0" w:after="0"/>
              <w:jc w:val="left"/>
              <w:rPr>
                <w:rFonts w:eastAsia="바탕"/>
                <w:szCs w:val="24"/>
                <w:lang w:eastAsia="x-none"/>
              </w:rPr>
            </w:pPr>
            <w:r w:rsidRPr="00C21AD7">
              <w:rPr>
                <w:rFonts w:eastAsia="Times New Roman"/>
                <w:szCs w:val="24"/>
                <w:lang w:eastAsia="x-none"/>
              </w:rPr>
              <w:lastRenderedPageBreak/>
              <w:t>The explicit indication of soft resources by DCI Format 2_5 is supported for multi-parent scenarios in Rel-17.</w:t>
            </w:r>
          </w:p>
          <w:p w14:paraId="1D4CD506" w14:textId="4A368BC7" w:rsidR="00C21AD7" w:rsidRPr="00FF700B" w:rsidRDefault="00C21AD7" w:rsidP="00FF700B">
            <w:pPr>
              <w:widowControl/>
              <w:numPr>
                <w:ilvl w:val="0"/>
                <w:numId w:val="12"/>
              </w:numPr>
              <w:wordWrap/>
              <w:autoSpaceDE/>
              <w:autoSpaceDN/>
              <w:spacing w:afterLines="0" w:after="0"/>
              <w:contextualSpacing/>
              <w:jc w:val="left"/>
              <w:textAlignment w:val="baseline"/>
              <w:rPr>
                <w:rFonts w:eastAsia="Calibri" w:cs="Times"/>
                <w:color w:val="000000"/>
                <w:szCs w:val="24"/>
                <w:highlight w:val="yellow"/>
                <w:lang w:eastAsia="x-none"/>
              </w:rPr>
            </w:pPr>
            <w:r w:rsidRPr="00C21AD7">
              <w:rPr>
                <w:rFonts w:eastAsia="Calibri" w:cs="Times"/>
                <w:color w:val="000000"/>
                <w:szCs w:val="24"/>
                <w:highlight w:val="yellow"/>
                <w:lang w:eastAsia="x-none"/>
              </w:rPr>
              <w:t>FFS: Whether additional enhancements over the Rel-16 solution are needed</w:t>
            </w:r>
          </w:p>
        </w:tc>
      </w:tr>
    </w:tbl>
    <w:p w14:paraId="3048251E" w14:textId="299D3C84" w:rsidR="00A33655" w:rsidRDefault="00A33655" w:rsidP="00BE59F3">
      <w:pPr>
        <w:spacing w:after="120"/>
      </w:pPr>
    </w:p>
    <w:p w14:paraId="42EC7E5B" w14:textId="4C3277E4" w:rsidR="00CB5865" w:rsidRDefault="00CB5865" w:rsidP="00BE59F3">
      <w:pPr>
        <w:spacing w:after="120"/>
      </w:pPr>
      <w:r>
        <w:rPr>
          <w:rFonts w:hint="eastAsia"/>
        </w:rPr>
        <w:t>F</w:t>
      </w:r>
      <w:r>
        <w:t xml:space="preserve">rom ETRI’s perspective, the following discussions </w:t>
      </w:r>
      <w:r w:rsidR="00470E65">
        <w:t>have high priority</w:t>
      </w:r>
      <w:r>
        <w:t xml:space="preserve"> to address the FFS points above:</w:t>
      </w:r>
    </w:p>
    <w:p w14:paraId="23BE0561" w14:textId="131B6115" w:rsidR="00CB5865" w:rsidRDefault="001E71D5" w:rsidP="00CB5865">
      <w:pPr>
        <w:pStyle w:val="a7"/>
        <w:numPr>
          <w:ilvl w:val="0"/>
          <w:numId w:val="16"/>
        </w:numPr>
        <w:spacing w:after="120"/>
        <w:ind w:leftChars="0"/>
      </w:pPr>
      <w:r>
        <w:rPr>
          <w:rFonts w:hint="eastAsia"/>
        </w:rPr>
        <w:t>T</w:t>
      </w:r>
      <w:r>
        <w:t>he existing Rel-16 IAB signaling including IAB-node capabilities on simultaneous operations.</w:t>
      </w:r>
    </w:p>
    <w:p w14:paraId="1C682192" w14:textId="2182AED8" w:rsidR="001E71D5" w:rsidRDefault="001E71D5" w:rsidP="00CB5865">
      <w:pPr>
        <w:pStyle w:val="a7"/>
        <w:numPr>
          <w:ilvl w:val="0"/>
          <w:numId w:val="16"/>
        </w:numPr>
        <w:spacing w:after="120"/>
        <w:ind w:leftChars="0"/>
      </w:pPr>
      <w:r>
        <w:rPr>
          <w:rFonts w:hint="eastAsia"/>
        </w:rPr>
        <w:t>C</w:t>
      </w:r>
      <w:r>
        <w:t>onfiguration and/or indication of simultaneous operations in Rel-17.</w:t>
      </w:r>
    </w:p>
    <w:p w14:paraId="2D7A47CC" w14:textId="18F7FF32" w:rsidR="001E71D5" w:rsidRDefault="001E71D5" w:rsidP="00CB5865">
      <w:pPr>
        <w:pStyle w:val="a7"/>
        <w:numPr>
          <w:ilvl w:val="0"/>
          <w:numId w:val="16"/>
        </w:numPr>
        <w:spacing w:after="120"/>
        <w:ind w:leftChars="0"/>
      </w:pPr>
      <w:r>
        <w:rPr>
          <w:rFonts w:hint="eastAsia"/>
        </w:rPr>
        <w:t>O</w:t>
      </w:r>
      <w:r>
        <w:t>ther enhancements to support efficient simultaneous operation</w:t>
      </w:r>
      <w:r w:rsidR="00B74DEC">
        <w:t xml:space="preserve"> </w:t>
      </w:r>
      <w:r w:rsidR="00B74DEC">
        <w:rPr>
          <w:rFonts w:hint="eastAsia"/>
        </w:rPr>
        <w:t>i</w:t>
      </w:r>
      <w:r w:rsidR="00B74DEC">
        <w:t>ncluding</w:t>
      </w:r>
      <w:r>
        <w:t xml:space="preserve"> BD/CCE enhancements.</w:t>
      </w:r>
    </w:p>
    <w:p w14:paraId="0A32F47D" w14:textId="77777777" w:rsidR="00CB5865" w:rsidRPr="00B74DEC" w:rsidRDefault="00CB5865" w:rsidP="00BE59F3">
      <w:pPr>
        <w:spacing w:after="120"/>
      </w:pPr>
    </w:p>
    <w:p w14:paraId="4402F7A9" w14:textId="6557E47D" w:rsidR="00F651FB" w:rsidRDefault="000C788A" w:rsidP="00210C41">
      <w:pPr>
        <w:pStyle w:val="maintext"/>
        <w:ind w:firstLine="440"/>
      </w:pPr>
      <w:r>
        <w:rPr>
          <w:rFonts w:hint="eastAsia"/>
        </w:rPr>
        <w:t>A</w:t>
      </w:r>
      <w:r>
        <w:t>lthough</w:t>
      </w:r>
      <w:r w:rsidR="00F651FB">
        <w:t xml:space="preserve"> RAN1 specifications do not support any specific IAB-DU/MT behaviors for simultaneous operation in Rel-16, TS38.473 has clarified a capability signaling to indicate which types of simultaneous operations can be supported by the IAB-node</w:t>
      </w:r>
      <w:r w:rsidR="00B122B9">
        <w:t xml:space="preserve"> </w:t>
      </w:r>
      <w:r w:rsidR="00B122B9">
        <w:fldChar w:fldCharType="begin"/>
      </w:r>
      <w:r w:rsidR="00B122B9">
        <w:instrText xml:space="preserve"> REF _Ref61256440 \r \h </w:instrText>
      </w:r>
      <w:r w:rsidR="00B122B9">
        <w:fldChar w:fldCharType="separate"/>
      </w:r>
      <w:r w:rsidR="00B122B9">
        <w:t>[2]</w:t>
      </w:r>
      <w:r w:rsidR="00B122B9">
        <w:fldChar w:fldCharType="end"/>
      </w:r>
      <w:r w:rsidR="00F651FB">
        <w:t xml:space="preserve">. As captured by </w:t>
      </w:r>
      <w:r w:rsidR="0084208B">
        <w:fldChar w:fldCharType="begin"/>
      </w:r>
      <w:r w:rsidR="0084208B">
        <w:instrText xml:space="preserve"> REF _Ref61256963 \h </w:instrText>
      </w:r>
      <w:r w:rsidR="0084208B">
        <w:fldChar w:fldCharType="separate"/>
      </w:r>
      <w:r w:rsidR="0084208B">
        <w:t xml:space="preserve">Table </w:t>
      </w:r>
      <w:r w:rsidR="0084208B">
        <w:rPr>
          <w:noProof/>
        </w:rPr>
        <w:t>2</w:t>
      </w:r>
      <w:r w:rsidR="0084208B">
        <w:fldChar w:fldCharType="end"/>
      </w:r>
      <w:r w:rsidR="0084208B">
        <w:t xml:space="preserve">, multiplexing capabilities between the </w:t>
      </w:r>
      <w:proofErr w:type="spellStart"/>
      <w:r w:rsidR="0084208B">
        <w:t>gNB</w:t>
      </w:r>
      <w:proofErr w:type="spellEnd"/>
      <w:r w:rsidR="0084208B">
        <w:t>-DU’s cell and the cells configured on the collocated IAB-MT can be reported “per cell”.</w:t>
      </w:r>
      <w:r w:rsidR="001F47A5">
        <w:t xml:space="preserve"> </w:t>
      </w:r>
      <w:r w:rsidR="00AB64A5">
        <w:t xml:space="preserve">Given that Rel-16 F1AP already provides </w:t>
      </w:r>
      <w:r w:rsidR="009241DD">
        <w:t>IAB-node</w:t>
      </w:r>
      <w:r w:rsidR="00AC7B50">
        <w:t xml:space="preserve"> implementation flexibility with cell-level granularity, it is desirable to </w:t>
      </w:r>
      <w:r w:rsidR="00361CED">
        <w:t>consider the same or even finer configurations (e.g. per BWP) for Rel-17 RAN1 specification supports on the frequency domain resource/resource type configuration and/or indication.</w:t>
      </w:r>
      <w:r w:rsidR="0086540C">
        <w:t xml:space="preserve"> </w:t>
      </w:r>
      <w:r w:rsidR="00E712FB">
        <w:t>One of t</w:t>
      </w:r>
      <w:r w:rsidR="0086540C">
        <w:t xml:space="preserve">he most intuitive way to </w:t>
      </w:r>
      <w:r w:rsidR="001D4A4F">
        <w:t xml:space="preserve">reflect this observation is to introduce a </w:t>
      </w:r>
      <w:r w:rsidR="00E712FB">
        <w:t xml:space="preserve">higher-layer parameter to configure </w:t>
      </w:r>
      <w:r w:rsidR="00E712FB" w:rsidRPr="00E712FB">
        <w:t>IAB-DU resource types in the frequency domain</w:t>
      </w:r>
      <w:r w:rsidR="00E712FB">
        <w:t xml:space="preserve"> where the configuration granularity of the parameter should contain “per cell”.</w:t>
      </w:r>
      <w:r w:rsidR="00B47504">
        <w:t xml:space="preserve"> </w:t>
      </w:r>
    </w:p>
    <w:p w14:paraId="3F4A1830" w14:textId="188EACE0" w:rsidR="00F651FB" w:rsidRDefault="00F651FB" w:rsidP="00BE59F3">
      <w:pPr>
        <w:spacing w:after="120"/>
      </w:pPr>
    </w:p>
    <w:p w14:paraId="27BC9BFE" w14:textId="66AE799A" w:rsidR="00C50387" w:rsidRDefault="00C50387" w:rsidP="00C50387">
      <w:pPr>
        <w:pStyle w:val="a8"/>
        <w:keepNext/>
        <w:spacing w:after="120"/>
      </w:pPr>
      <w:bookmarkStart w:id="3" w:name="_Ref61256963"/>
      <w:r>
        <w:t xml:space="preserve">Table </w:t>
      </w:r>
      <w:fldSimple w:instr=" SEQ Table \* ARABIC ">
        <w:r w:rsidR="00F4781E">
          <w:rPr>
            <w:noProof/>
          </w:rPr>
          <w:t>2</w:t>
        </w:r>
      </w:fldSimple>
      <w:bookmarkEnd w:id="3"/>
      <w:r>
        <w:t>. Multiplexing Info IE in subclause 9.3.1.108 of TS38.473</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50387" w:rsidRPr="00C50387" w14:paraId="630F1198" w14:textId="77777777" w:rsidTr="00D37BDF">
        <w:trPr>
          <w:jc w:val="center"/>
        </w:trPr>
        <w:tc>
          <w:tcPr>
            <w:tcW w:w="2448" w:type="dxa"/>
          </w:tcPr>
          <w:p w14:paraId="408B2744"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IE/Group Name</w:t>
            </w:r>
          </w:p>
        </w:tc>
        <w:tc>
          <w:tcPr>
            <w:tcW w:w="1080" w:type="dxa"/>
          </w:tcPr>
          <w:p w14:paraId="356E20B7"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Presence</w:t>
            </w:r>
          </w:p>
        </w:tc>
        <w:tc>
          <w:tcPr>
            <w:tcW w:w="1440" w:type="dxa"/>
          </w:tcPr>
          <w:p w14:paraId="5CE9CB1E"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Range</w:t>
            </w:r>
          </w:p>
        </w:tc>
        <w:tc>
          <w:tcPr>
            <w:tcW w:w="1872" w:type="dxa"/>
          </w:tcPr>
          <w:p w14:paraId="10223869"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 type and reference</w:t>
            </w:r>
          </w:p>
        </w:tc>
        <w:tc>
          <w:tcPr>
            <w:tcW w:w="2880" w:type="dxa"/>
          </w:tcPr>
          <w:p w14:paraId="0BDAC6F3"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Semantics description</w:t>
            </w:r>
          </w:p>
        </w:tc>
      </w:tr>
      <w:tr w:rsidR="00C50387" w:rsidRPr="00C50387" w14:paraId="796F8A24" w14:textId="77777777" w:rsidTr="00D37BDF">
        <w:trPr>
          <w:jc w:val="center"/>
        </w:trPr>
        <w:tc>
          <w:tcPr>
            <w:tcW w:w="2448" w:type="dxa"/>
          </w:tcPr>
          <w:p w14:paraId="5422F2B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IAB-MT Cell List</w:t>
            </w:r>
          </w:p>
        </w:tc>
        <w:tc>
          <w:tcPr>
            <w:tcW w:w="1080" w:type="dxa"/>
          </w:tcPr>
          <w:p w14:paraId="5BC587E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43FAAE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i/>
                <w:kern w:val="0"/>
                <w:sz w:val="18"/>
                <w:szCs w:val="20"/>
                <w:lang w:val="en-GB" w:eastAsia="ja-JP"/>
              </w:rPr>
            </w:pPr>
            <w:r w:rsidRPr="00C50387">
              <w:rPr>
                <w:rFonts w:ascii="Arial" w:eastAsia="Times New Roman" w:hAnsi="Arial"/>
                <w:i/>
                <w:kern w:val="0"/>
                <w:sz w:val="18"/>
                <w:szCs w:val="20"/>
                <w:lang w:val="en-GB" w:eastAsia="ja-JP"/>
              </w:rPr>
              <w:t>1</w:t>
            </w:r>
          </w:p>
        </w:tc>
        <w:tc>
          <w:tcPr>
            <w:tcW w:w="1872" w:type="dxa"/>
          </w:tcPr>
          <w:p w14:paraId="02F92D0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2C41F56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0DDB502F" w14:textId="77777777" w:rsidTr="00D37BDF">
        <w:trPr>
          <w:jc w:val="center"/>
        </w:trPr>
        <w:tc>
          <w:tcPr>
            <w:tcW w:w="2448" w:type="dxa"/>
          </w:tcPr>
          <w:p w14:paraId="47137A3E" w14:textId="77777777" w:rsidR="00C50387" w:rsidRPr="00C50387" w:rsidRDefault="00C50387" w:rsidP="00C50387">
            <w:pPr>
              <w:keepNext/>
              <w:keepLines/>
              <w:widowControl/>
              <w:wordWrap/>
              <w:overflowPunct w:val="0"/>
              <w:adjustRightInd w:val="0"/>
              <w:spacing w:afterLines="0" w:after="120"/>
              <w:ind w:left="10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&gt;IAB-MT Cell Item</w:t>
            </w:r>
          </w:p>
        </w:tc>
        <w:tc>
          <w:tcPr>
            <w:tcW w:w="1080" w:type="dxa"/>
          </w:tcPr>
          <w:p w14:paraId="51457D68"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71E8D34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i/>
                <w:kern w:val="0"/>
                <w:sz w:val="18"/>
                <w:szCs w:val="20"/>
                <w:lang w:val="en-GB" w:eastAsia="ja-JP"/>
              </w:rPr>
              <w:t>1</w:t>
            </w:r>
            <w:proofErr w:type="gramStart"/>
            <w:r w:rsidRPr="00C50387">
              <w:rPr>
                <w:rFonts w:ascii="Arial" w:eastAsia="Times New Roman" w:hAnsi="Arial"/>
                <w:kern w:val="0"/>
                <w:sz w:val="18"/>
                <w:szCs w:val="20"/>
                <w:lang w:val="en-GB" w:eastAsia="ja-JP"/>
              </w:rPr>
              <w:t xml:space="preserve"> ..</w:t>
            </w:r>
            <w:proofErr w:type="gramEnd"/>
            <w:r w:rsidRPr="00C50387">
              <w:rPr>
                <w:rFonts w:ascii="Arial" w:eastAsia="Times New Roman" w:hAnsi="Arial"/>
                <w:kern w:val="0"/>
                <w:sz w:val="18"/>
                <w:szCs w:val="20"/>
                <w:lang w:val="en-GB" w:eastAsia="ja-JP"/>
              </w:rPr>
              <w:t xml:space="preserve"> &lt;</w:t>
            </w:r>
            <w:proofErr w:type="spellStart"/>
            <w:r w:rsidRPr="00C50387">
              <w:rPr>
                <w:rFonts w:ascii="Arial" w:eastAsia="Times New Roman" w:hAnsi="Arial"/>
                <w:i/>
                <w:iCs/>
                <w:kern w:val="0"/>
                <w:sz w:val="18"/>
                <w:szCs w:val="20"/>
                <w:lang w:val="en-GB" w:eastAsia="ja-JP"/>
              </w:rPr>
              <w:t>maxnoofServingCells</w:t>
            </w:r>
            <w:proofErr w:type="spellEnd"/>
            <w:r w:rsidRPr="00C50387">
              <w:rPr>
                <w:rFonts w:ascii="Arial" w:eastAsia="Times New Roman" w:hAnsi="Arial"/>
                <w:kern w:val="0"/>
                <w:sz w:val="18"/>
                <w:szCs w:val="20"/>
                <w:lang w:val="en-GB" w:eastAsia="ja-JP"/>
              </w:rPr>
              <w:t>&gt;</w:t>
            </w:r>
          </w:p>
        </w:tc>
        <w:tc>
          <w:tcPr>
            <w:tcW w:w="1872" w:type="dxa"/>
          </w:tcPr>
          <w:p w14:paraId="0BFF069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51ADA68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139D797C" w14:textId="77777777" w:rsidTr="00D37BDF">
        <w:trPr>
          <w:jc w:val="center"/>
        </w:trPr>
        <w:tc>
          <w:tcPr>
            <w:tcW w:w="2448" w:type="dxa"/>
          </w:tcPr>
          <w:p w14:paraId="319FD033"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&gt;&gt;NR Cell Identity</w:t>
            </w:r>
          </w:p>
        </w:tc>
        <w:tc>
          <w:tcPr>
            <w:tcW w:w="1080" w:type="dxa"/>
          </w:tcPr>
          <w:p w14:paraId="5B03060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0BEC2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4A7050D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BIT STRING (</w:t>
            </w:r>
            <w:proofErr w:type="gramStart"/>
            <w:r w:rsidRPr="00C50387">
              <w:rPr>
                <w:rFonts w:ascii="Arial" w:eastAsia="Times New Roman" w:hAnsi="Arial"/>
                <w:kern w:val="0"/>
                <w:sz w:val="18"/>
                <w:szCs w:val="20"/>
                <w:lang w:val="en-GB" w:eastAsia="ja-JP"/>
              </w:rPr>
              <w:t>SIZE(</w:t>
            </w:r>
            <w:proofErr w:type="gramEnd"/>
            <w:r w:rsidRPr="00C50387">
              <w:rPr>
                <w:rFonts w:ascii="Arial" w:eastAsia="Times New Roman" w:hAnsi="Arial"/>
                <w:kern w:val="0"/>
                <w:sz w:val="18"/>
                <w:szCs w:val="20"/>
                <w:lang w:val="en-GB" w:eastAsia="ja-JP"/>
              </w:rPr>
              <w:t>36))</w:t>
            </w:r>
          </w:p>
        </w:tc>
        <w:tc>
          <w:tcPr>
            <w:tcW w:w="2880" w:type="dxa"/>
          </w:tcPr>
          <w:p w14:paraId="51D92CE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Cell identity of a serving cell configured for a collocated IAB-MT.</w:t>
            </w:r>
          </w:p>
        </w:tc>
      </w:tr>
      <w:tr w:rsidR="00C50387" w:rsidRPr="00C50387" w14:paraId="5213D1B5" w14:textId="77777777" w:rsidTr="00D37BDF">
        <w:trPr>
          <w:jc w:val="center"/>
        </w:trPr>
        <w:tc>
          <w:tcPr>
            <w:tcW w:w="2448" w:type="dxa"/>
          </w:tcPr>
          <w:p w14:paraId="1B4A476A"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&gt;&gt;DU_RX/MT_RX</w:t>
            </w:r>
          </w:p>
        </w:tc>
        <w:tc>
          <w:tcPr>
            <w:tcW w:w="1080" w:type="dxa"/>
          </w:tcPr>
          <w:p w14:paraId="0BA27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73D362A6"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0F7C79F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35607FC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en-GB"/>
              </w:rPr>
            </w:pPr>
            <w:r w:rsidRPr="00C50387">
              <w:rPr>
                <w:rFonts w:ascii="Arial" w:eastAsia="Times New Roman" w:hAnsi="Arial"/>
                <w:kern w:val="0"/>
                <w:sz w:val="18"/>
                <w:szCs w:val="20"/>
                <w:lang w:val="en-GB" w:eastAsia="en-GB"/>
              </w:rPr>
              <w:t>An indication of whether the IAB-node supports simultaneous reception at its DU and MT side.</w:t>
            </w:r>
          </w:p>
        </w:tc>
      </w:tr>
      <w:tr w:rsidR="00C50387" w:rsidRPr="00C50387" w14:paraId="4B9FA17D" w14:textId="77777777" w:rsidTr="00D37BDF">
        <w:trPr>
          <w:trHeight w:val="503"/>
          <w:jc w:val="center"/>
        </w:trPr>
        <w:tc>
          <w:tcPr>
            <w:tcW w:w="2448" w:type="dxa"/>
          </w:tcPr>
          <w:p w14:paraId="5D60FEB8"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&gt;&gt;DU_TX/MT_TX</w:t>
            </w:r>
          </w:p>
        </w:tc>
        <w:tc>
          <w:tcPr>
            <w:tcW w:w="1080" w:type="dxa"/>
          </w:tcPr>
          <w:p w14:paraId="6D18BD3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921030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327D5DF0"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0E897D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MT side.</w:t>
            </w:r>
          </w:p>
        </w:tc>
      </w:tr>
      <w:tr w:rsidR="00C50387" w:rsidRPr="00C50387" w14:paraId="4A7A710F" w14:textId="77777777" w:rsidTr="00D37BDF">
        <w:trPr>
          <w:trHeight w:val="503"/>
          <w:jc w:val="center"/>
        </w:trPr>
        <w:tc>
          <w:tcPr>
            <w:tcW w:w="2448" w:type="dxa"/>
          </w:tcPr>
          <w:p w14:paraId="46030F07"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&gt;&gt;DU_TX/MT_RX</w:t>
            </w:r>
          </w:p>
        </w:tc>
        <w:tc>
          <w:tcPr>
            <w:tcW w:w="1080" w:type="dxa"/>
          </w:tcPr>
          <w:p w14:paraId="7E6458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AA357D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176D1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502F87D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reception at its MT side.</w:t>
            </w:r>
          </w:p>
        </w:tc>
      </w:tr>
      <w:tr w:rsidR="00C50387" w:rsidRPr="00C50387" w14:paraId="6F25998D" w14:textId="77777777" w:rsidTr="00D37BDF">
        <w:trPr>
          <w:trHeight w:val="503"/>
          <w:jc w:val="center"/>
        </w:trPr>
        <w:tc>
          <w:tcPr>
            <w:tcW w:w="2448" w:type="dxa"/>
          </w:tcPr>
          <w:p w14:paraId="56502A42"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&gt;&gt;DU_RX/MT_TX</w:t>
            </w:r>
          </w:p>
        </w:tc>
        <w:tc>
          <w:tcPr>
            <w:tcW w:w="1080" w:type="dxa"/>
          </w:tcPr>
          <w:p w14:paraId="5C720FB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D12B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597265CA"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14B7EDA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reception at its DU and transmission at its MT side.</w:t>
            </w:r>
          </w:p>
        </w:tc>
      </w:tr>
    </w:tbl>
    <w:p w14:paraId="17AF51E7" w14:textId="3BE5CD9B" w:rsidR="008572B1" w:rsidRDefault="008572B1" w:rsidP="00BE59F3">
      <w:pPr>
        <w:spacing w:after="120"/>
      </w:pPr>
    </w:p>
    <w:p w14:paraId="7A0D801B" w14:textId="27CB8DE4" w:rsidR="008572B1" w:rsidRPr="005047B7" w:rsidRDefault="008572B1" w:rsidP="005047B7">
      <w:pPr>
        <w:spacing w:after="120"/>
        <w:ind w:left="330" w:hangingChars="150" w:hanging="330"/>
        <w:rPr>
          <w:b/>
        </w:rPr>
      </w:pPr>
      <w:r w:rsidRPr="005047B7">
        <w:rPr>
          <w:rFonts w:hint="eastAsia"/>
          <w:b/>
        </w:rPr>
        <w:t>O</w:t>
      </w:r>
      <w:r w:rsidRPr="005047B7">
        <w:rPr>
          <w:b/>
        </w:rPr>
        <w:t>bservation 1</w:t>
      </w:r>
      <w:r w:rsidR="000734D3" w:rsidRPr="005047B7">
        <w:rPr>
          <w:b/>
        </w:rPr>
        <w:t>:</w:t>
      </w:r>
      <w:r w:rsidR="00745F39" w:rsidRPr="005047B7">
        <w:rPr>
          <w:b/>
        </w:rPr>
        <w:t xml:space="preserve"> The existing signaling, i.e. multiplexing information in TS38.473, can report simultaneous operation capabilities of the IAB-node “per cell”</w:t>
      </w:r>
    </w:p>
    <w:p w14:paraId="452B74BC" w14:textId="2F2A2A23" w:rsidR="008572B1" w:rsidRDefault="008572B1" w:rsidP="00BE59F3">
      <w:pPr>
        <w:spacing w:after="120"/>
      </w:pPr>
    </w:p>
    <w:p w14:paraId="574859F2" w14:textId="2F256795" w:rsidR="00745F39" w:rsidRPr="005047B7" w:rsidRDefault="00745F39" w:rsidP="005047B7">
      <w:pPr>
        <w:spacing w:after="120"/>
        <w:ind w:left="330" w:hangingChars="150" w:hanging="330"/>
        <w:rPr>
          <w:b/>
        </w:rPr>
      </w:pPr>
      <w:r w:rsidRPr="005047B7">
        <w:rPr>
          <w:rFonts w:hint="eastAsia"/>
          <w:b/>
        </w:rPr>
        <w:t>P</w:t>
      </w:r>
      <w:r w:rsidRPr="005047B7">
        <w:rPr>
          <w:b/>
        </w:rPr>
        <w:t>roposal 1</w:t>
      </w:r>
      <w:r w:rsidR="000734D3" w:rsidRPr="005047B7">
        <w:rPr>
          <w:b/>
        </w:rPr>
        <w:t>:</w:t>
      </w:r>
      <w:r w:rsidRPr="005047B7">
        <w:rPr>
          <w:b/>
        </w:rPr>
        <w:t xml:space="preserve"> </w:t>
      </w:r>
      <w:r w:rsidR="00C05655" w:rsidRPr="005047B7">
        <w:rPr>
          <w:b/>
        </w:rPr>
        <w:t>Introduce</w:t>
      </w:r>
      <w:r w:rsidR="009749EC" w:rsidRPr="005047B7">
        <w:rPr>
          <w:b/>
        </w:rPr>
        <w:t xml:space="preserve"> a higher-layer parameter to configure IAB-DU resource types in the frequency domain.</w:t>
      </w:r>
    </w:p>
    <w:p w14:paraId="06CA0BF2" w14:textId="1594E599" w:rsidR="009749EC" w:rsidRPr="005047B7" w:rsidRDefault="009749EC" w:rsidP="009749EC">
      <w:pPr>
        <w:pStyle w:val="a7"/>
        <w:numPr>
          <w:ilvl w:val="0"/>
          <w:numId w:val="13"/>
        </w:numPr>
        <w:spacing w:after="120"/>
        <w:ind w:leftChars="0"/>
        <w:rPr>
          <w:b/>
        </w:rPr>
      </w:pPr>
      <w:r w:rsidRPr="005047B7">
        <w:rPr>
          <w:b/>
        </w:rPr>
        <w:t>Granularity of the configuration should be equal to or smaller than “per cell”</w:t>
      </w:r>
    </w:p>
    <w:p w14:paraId="29BDB423" w14:textId="598D0EFD" w:rsidR="001F6B73" w:rsidRDefault="001F6B73" w:rsidP="001F6B73">
      <w:pPr>
        <w:spacing w:after="120"/>
      </w:pPr>
    </w:p>
    <w:p w14:paraId="1384D4F5" w14:textId="5D59F355" w:rsidR="005047B7" w:rsidRDefault="00041B62" w:rsidP="00FB23EC">
      <w:pPr>
        <w:pStyle w:val="maintext"/>
        <w:ind w:firstLine="440"/>
      </w:pPr>
      <w:r>
        <w:rPr>
          <w:rFonts w:hint="eastAsia"/>
        </w:rPr>
        <w:t>A</w:t>
      </w:r>
      <w:r>
        <w:t xml:space="preserve">s discussed in RAN1#103-e, </w:t>
      </w:r>
      <w:r w:rsidR="00FB23EC">
        <w:t xml:space="preserve">simultaneous operation of an IAB-node may impact non-IAB networks as well as IAB network itself. </w:t>
      </w:r>
      <w:r w:rsidR="004A33E1">
        <w:t xml:space="preserve">Per various situations such as relative traffic load between IAB/non-IAB networks (e.g. low traffic load for IAB network and high traffic load for non-IAB network), or different vertical types between IAB/non-IAB networks (e.g. </w:t>
      </w:r>
      <w:proofErr w:type="spellStart"/>
      <w:r w:rsidR="004A33E1">
        <w:t>eMBB</w:t>
      </w:r>
      <w:proofErr w:type="spellEnd"/>
      <w:r w:rsidR="004A33E1">
        <w:t xml:space="preserve"> for IAB network and URLLC for non-IAB network), </w:t>
      </w:r>
      <w:r w:rsidR="007D48E4">
        <w:t xml:space="preserve">the whole network may want to minimize the potential interference from IAB network to non-IAB network. In this case, the semi-static configuration of simultaneous operation by the higher-layer parameter(s) above might not be enough to deal with the dynamic nature of network environments. </w:t>
      </w:r>
      <w:r w:rsidR="00B75F6B">
        <w:t xml:space="preserve">Therefore, it is required to extend the existing DCI format 2_5 for dynamic indication of </w:t>
      </w:r>
      <w:r w:rsidR="00136051">
        <w:t>simultaneous operation(s).</w:t>
      </w:r>
    </w:p>
    <w:p w14:paraId="5ED8F073" w14:textId="353734A8" w:rsidR="0072607D" w:rsidRDefault="00EB0B3C" w:rsidP="00FB23EC">
      <w:pPr>
        <w:pStyle w:val="maintext"/>
        <w:ind w:firstLine="440"/>
      </w:pPr>
      <w:r>
        <w:t xml:space="preserve">Extension of the mapping between </w:t>
      </w:r>
      <w:r w:rsidRPr="00EB0B3C">
        <w:rPr>
          <w:lang w:val="en-US"/>
        </w:rPr>
        <w:t xml:space="preserve">values of </w:t>
      </w:r>
      <w:proofErr w:type="spellStart"/>
      <w:r w:rsidRPr="00EB0B3C">
        <w:rPr>
          <w:i/>
          <w:lang w:val="en-US"/>
        </w:rPr>
        <w:t>resourceAvailability</w:t>
      </w:r>
      <w:proofErr w:type="spellEnd"/>
      <w:r w:rsidRPr="00EB0B3C">
        <w:rPr>
          <w:lang w:val="en-US"/>
        </w:rPr>
        <w:t xml:space="preserve"> elements and types of soft symbol availability</w:t>
      </w:r>
      <w:r>
        <w:rPr>
          <w:lang w:val="en-US"/>
        </w:rPr>
        <w:t xml:space="preserve"> could be the</w:t>
      </w:r>
      <w:r>
        <w:t xml:space="preserve"> f</w:t>
      </w:r>
      <w:r w:rsidR="0072607D">
        <w:t>irst alternative to enable frequency domain resource type indication</w:t>
      </w:r>
      <w:r>
        <w:t xml:space="preserve">. </w:t>
      </w:r>
      <w:r>
        <w:fldChar w:fldCharType="begin"/>
      </w:r>
      <w:r>
        <w:instrText xml:space="preserve"> REF _Ref61266497 \h </w:instrText>
      </w:r>
      <w:r>
        <w:fldChar w:fldCharType="separate"/>
      </w:r>
      <w:r>
        <w:t xml:space="preserve">Table </w:t>
      </w:r>
      <w:r>
        <w:rPr>
          <w:noProof/>
        </w:rPr>
        <w:t>3</w:t>
      </w:r>
      <w:r>
        <w:fldChar w:fldCharType="end"/>
      </w:r>
      <w:r>
        <w:t xml:space="preserve"> shows an example of the revised mapping between </w:t>
      </w:r>
      <w:proofErr w:type="spellStart"/>
      <w:r w:rsidRPr="00EB0B3C">
        <w:rPr>
          <w:i/>
        </w:rPr>
        <w:t>resourceAvailability</w:t>
      </w:r>
      <w:proofErr w:type="spellEnd"/>
      <w:r>
        <w:t xml:space="preserve"> and the dynamic indication. </w:t>
      </w:r>
      <w:r w:rsidR="00B32B5D">
        <w:t xml:space="preserve">In this </w:t>
      </w:r>
      <w:r w:rsidR="00937E34">
        <w:t>case, the same mapping with Rel-16 is reused for the values from 0 to 7 and the additional values from 8 to 14 can indicate use</w:t>
      </w:r>
      <w:r w:rsidR="00A97F05">
        <w:t xml:space="preserve"> of simultaneous operation(s) on the frequency domain</w:t>
      </w:r>
      <w:r w:rsidR="0058374E">
        <w:t xml:space="preserve"> (per cell in this example)</w:t>
      </w:r>
      <w:r w:rsidR="00A97F05">
        <w:t>.</w:t>
      </w:r>
      <w:r w:rsidR="0058374E">
        <w:t xml:space="preserve"> </w:t>
      </w:r>
    </w:p>
    <w:p w14:paraId="33D88D10" w14:textId="15A860FA" w:rsidR="00EB0B3C" w:rsidRDefault="00EB0B3C" w:rsidP="00FB23EC">
      <w:pPr>
        <w:pStyle w:val="maintext"/>
        <w:ind w:firstLine="440"/>
      </w:pPr>
    </w:p>
    <w:p w14:paraId="01E1BC2E" w14:textId="0DE26229" w:rsidR="00EB0B3C" w:rsidRDefault="00EB0B3C" w:rsidP="00EB0B3C">
      <w:pPr>
        <w:pStyle w:val="a8"/>
        <w:keepNext/>
        <w:spacing w:after="120"/>
      </w:pPr>
      <w:bookmarkStart w:id="4" w:name="_Ref61266497"/>
      <w:r>
        <w:t xml:space="preserve">Table </w:t>
      </w:r>
      <w:fldSimple w:instr=" SEQ Table \* ARABIC ">
        <w:r w:rsidR="00F4781E">
          <w:rPr>
            <w:noProof/>
          </w:rPr>
          <w:t>3</w:t>
        </w:r>
      </w:fldSimple>
      <w:bookmarkEnd w:id="4"/>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0155000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and SO</w:t>
            </w:r>
            <w:r w:rsidR="00B32B5D">
              <w:rPr>
                <w:rFonts w:eastAsia="SimSun"/>
                <w:color w:val="000000"/>
                <w:kern w:val="24"/>
                <w:lang w:val="en-GB"/>
              </w:rPr>
              <w:t xml:space="preserve"> (simultaneous operations)</w:t>
            </w:r>
            <w:r w:rsidRPr="00EB0B3C">
              <w:rPr>
                <w:rFonts w:eastAsia="SimSun"/>
                <w:color w:val="000000"/>
                <w:kern w:val="24"/>
                <w:lang w:val="en-GB"/>
              </w:rPr>
              <w:t xml:space="preserve"> soft symbols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and SO soft symbols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UL and SO soft symbols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6FA3D7B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and SO soft symbols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399BABB2"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Flexible and SO soft symbols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lastRenderedPageBreak/>
              <w:t>13</w:t>
            </w:r>
          </w:p>
        </w:tc>
        <w:tc>
          <w:tcPr>
            <w:tcW w:w="7940" w:type="dxa"/>
            <w:shd w:val="clear" w:color="auto" w:fill="auto"/>
            <w:tcMar>
              <w:top w:w="15" w:type="dxa"/>
              <w:left w:w="108" w:type="dxa"/>
              <w:bottom w:w="0" w:type="dxa"/>
              <w:right w:w="108" w:type="dxa"/>
            </w:tcMar>
            <w:vAlign w:val="center"/>
            <w:hideMark/>
          </w:tcPr>
          <w:p w14:paraId="679A238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Flexible and SO soft symbols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 Flexible, and SO soft symbols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779D1934" w14:textId="60DCDD8B" w:rsidR="00EB0B3C" w:rsidRPr="00EB0B3C" w:rsidRDefault="00EB0B3C" w:rsidP="00FB23EC">
      <w:pPr>
        <w:pStyle w:val="maintext"/>
        <w:ind w:firstLine="440"/>
        <w:rPr>
          <w:lang w:val="en-US"/>
        </w:rPr>
      </w:pPr>
    </w:p>
    <w:p w14:paraId="142C0EDE" w14:textId="34BC7AA1" w:rsidR="00EB0B3C" w:rsidRDefault="00F50726" w:rsidP="00FB23EC">
      <w:pPr>
        <w:pStyle w:val="maintext"/>
        <w:ind w:firstLine="440"/>
      </w:pPr>
      <w:r>
        <w:rPr>
          <w:rFonts w:hint="eastAsia"/>
        </w:rPr>
        <w:t>T</w:t>
      </w:r>
      <w:r>
        <w:t xml:space="preserve">hrough the extensions as in </w:t>
      </w:r>
      <w:r>
        <w:fldChar w:fldCharType="begin"/>
      </w:r>
      <w:r>
        <w:instrText xml:space="preserve"> REF _Ref61266497 \h </w:instrText>
      </w:r>
      <w:r>
        <w:fldChar w:fldCharType="separate"/>
      </w:r>
      <w:r>
        <w:t xml:space="preserve">Table </w:t>
      </w:r>
      <w:r>
        <w:rPr>
          <w:noProof/>
        </w:rPr>
        <w:t>3</w:t>
      </w:r>
      <w:r>
        <w:fldChar w:fldCharType="end"/>
      </w:r>
      <w:r>
        <w:t xml:space="preserve">, it is able to </w:t>
      </w:r>
      <w:r w:rsidR="000F1108">
        <w:t xml:space="preserve">secure high flexibility to control IAB-DU’s simultaneous operation. </w:t>
      </w:r>
      <w:r w:rsidR="00197752">
        <w:t>However,</w:t>
      </w:r>
      <w:r w:rsidR="009E5383">
        <w:t xml:space="preserve"> </w:t>
      </w:r>
      <w:r w:rsidR="009E5383">
        <w:fldChar w:fldCharType="begin"/>
      </w:r>
      <w:r w:rsidR="009E5383">
        <w:instrText xml:space="preserve"> REF _Ref61266497 \h </w:instrText>
      </w:r>
      <w:r w:rsidR="009E5383">
        <w:fldChar w:fldCharType="separate"/>
      </w:r>
      <w:r w:rsidR="009E5383">
        <w:t xml:space="preserve">Table </w:t>
      </w:r>
      <w:r w:rsidR="009E5383">
        <w:rPr>
          <w:noProof/>
        </w:rPr>
        <w:t>3</w:t>
      </w:r>
      <w:r w:rsidR="009E5383">
        <w:fldChar w:fldCharType="end"/>
      </w:r>
      <w:r w:rsidR="009E5383">
        <w:t xml:space="preserve"> makes </w:t>
      </w:r>
      <w:r w:rsidR="003376E2">
        <w:t>a hard association between time domain resource availability and frequency domain resource availability</w:t>
      </w:r>
      <w:r w:rsidR="00197752">
        <w:t xml:space="preserve"> in terms of </w:t>
      </w:r>
      <w:r w:rsidR="00007735">
        <w:t>indication</w:t>
      </w:r>
      <w:r w:rsidR="0061598B">
        <w:t xml:space="preserve"> </w:t>
      </w:r>
      <w:r w:rsidR="008703BA">
        <w:t xml:space="preserve">periodicity and </w:t>
      </w:r>
      <w:r w:rsidR="00007735">
        <w:t>applicable duration</w:t>
      </w:r>
      <w:r w:rsidR="003376E2">
        <w:t xml:space="preserve">. </w:t>
      </w:r>
      <w:r w:rsidR="008A60EF">
        <w:t xml:space="preserve">In other words, when the desired values of indication periodicities for time and frequency domains are quite different, the shorter one should be the reference always </w:t>
      </w:r>
      <w:r w:rsidR="001862CB">
        <w:t xml:space="preserve">and the signalling overhead could be increased, consequently. </w:t>
      </w:r>
      <w:r w:rsidR="00EE5F3C">
        <w:t xml:space="preserve">As the second alternative to address this issue, a new RNTI can be introduced to distinguish time domain resource availability indication and frequency domain resource availability indication. </w:t>
      </w:r>
      <w:r w:rsidR="00497658">
        <w:t xml:space="preserve">For instance, the IAB-node </w:t>
      </w:r>
      <w:r w:rsidR="00376076">
        <w:t xml:space="preserve">can apply the </w:t>
      </w:r>
      <w:r w:rsidR="004345B4">
        <w:t>DCI for time domain resource availability when the DCI is scrambled with AI-RNTI. Otherwise (i.e. when the DCI is scrambled with the new RNTI), the IAB-node can assess that the DCI is utilized for frequency domain resource availability.</w:t>
      </w:r>
    </w:p>
    <w:p w14:paraId="628BCB9F" w14:textId="77777777" w:rsidR="005047B7" w:rsidRDefault="005047B7" w:rsidP="001F6B73">
      <w:pPr>
        <w:spacing w:after="120"/>
      </w:pPr>
    </w:p>
    <w:p w14:paraId="62E0ABB7" w14:textId="3CA4250B" w:rsidR="00321CFD" w:rsidRPr="00A66E58" w:rsidRDefault="00321CFD" w:rsidP="001F6B73">
      <w:pPr>
        <w:spacing w:after="120"/>
        <w:rPr>
          <w:b/>
        </w:rPr>
      </w:pPr>
      <w:r w:rsidRPr="00A66E58">
        <w:rPr>
          <w:rFonts w:hint="eastAsia"/>
          <w:b/>
        </w:rPr>
        <w:t>P</w:t>
      </w:r>
      <w:r w:rsidRPr="00A66E58">
        <w:rPr>
          <w:b/>
        </w:rPr>
        <w:t xml:space="preserve">roposal 2: Enhance DCI format 2_5 to enable </w:t>
      </w:r>
      <w:r w:rsidR="004345B4" w:rsidRPr="00A66E58">
        <w:rPr>
          <w:b/>
        </w:rPr>
        <w:t>frequency domain resource availability indication.</w:t>
      </w:r>
    </w:p>
    <w:p w14:paraId="002DF8C8" w14:textId="2DEA9E55" w:rsidR="004345B4" w:rsidRPr="00A66E58" w:rsidRDefault="004345B4" w:rsidP="004345B4">
      <w:pPr>
        <w:pStyle w:val="a7"/>
        <w:numPr>
          <w:ilvl w:val="0"/>
          <w:numId w:val="13"/>
        </w:numPr>
        <w:spacing w:after="120"/>
        <w:ind w:leftChars="0"/>
        <w:rPr>
          <w:b/>
        </w:rPr>
      </w:pPr>
      <w:r w:rsidRPr="00A66E58">
        <w:rPr>
          <w:b/>
        </w:rPr>
        <w:t xml:space="preserve">Alt.1: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p>
    <w:p w14:paraId="1CC8FF31" w14:textId="730D0EF4" w:rsidR="004345B4" w:rsidRPr="00A66E58" w:rsidRDefault="004345B4" w:rsidP="004345B4">
      <w:pPr>
        <w:pStyle w:val="a7"/>
        <w:numPr>
          <w:ilvl w:val="0"/>
          <w:numId w:val="13"/>
        </w:numPr>
        <w:spacing w:after="120"/>
        <w:ind w:leftChars="0"/>
        <w:rPr>
          <w:b/>
        </w:rPr>
      </w:pPr>
      <w:r w:rsidRPr="00A66E58">
        <w:rPr>
          <w:b/>
        </w:rPr>
        <w:t>Alt.2: Introduce a new RNTI to indicate frequency domain resource availability.</w:t>
      </w:r>
    </w:p>
    <w:p w14:paraId="285B2A82" w14:textId="7C52F3AD" w:rsidR="000734D3" w:rsidRDefault="000734D3" w:rsidP="001F6B73">
      <w:pPr>
        <w:spacing w:after="120"/>
      </w:pPr>
    </w:p>
    <w:p w14:paraId="155B2212" w14:textId="699D4054" w:rsidR="006208E5" w:rsidRDefault="004F2D44" w:rsidP="008545E0">
      <w:pPr>
        <w:pStyle w:val="maintext"/>
        <w:ind w:firstLine="440"/>
      </w:pPr>
      <w:r>
        <w:rPr>
          <w:rFonts w:hint="eastAsia"/>
        </w:rPr>
        <w:t>I</w:t>
      </w:r>
      <w:r>
        <w:t xml:space="preserve">n Rel-16 </w:t>
      </w:r>
      <w:proofErr w:type="spellStart"/>
      <w:r>
        <w:t>mTRP</w:t>
      </w:r>
      <w:proofErr w:type="spellEnd"/>
      <w:r w:rsidR="008545E0">
        <w:t xml:space="preserve"> (multi-TRP)</w:t>
      </w:r>
      <w:r>
        <w:t xml:space="preserve">, </w:t>
      </w:r>
      <w:r w:rsidR="008545E0">
        <w:t>the calculation rules for B</w:t>
      </w:r>
      <w:r w:rsidR="00303292">
        <w:t>D</w:t>
      </w:r>
      <w:r w:rsidR="008545E0">
        <w:t xml:space="preserve">/CCE limits are enhanced due to the increasing DCI overhead to support multi-DCI based </w:t>
      </w:r>
      <w:proofErr w:type="spellStart"/>
      <w:r w:rsidR="008545E0">
        <w:t>mTRP</w:t>
      </w:r>
      <w:proofErr w:type="spellEnd"/>
      <w:r w:rsidR="008545E0">
        <w:t xml:space="preserve"> features. </w:t>
      </w:r>
      <w:r w:rsidR="00303292">
        <w:t xml:space="preserve">For example, Rel-16 </w:t>
      </w:r>
      <w:proofErr w:type="spellStart"/>
      <w:r w:rsidR="00303292">
        <w:t>gNB</w:t>
      </w:r>
      <w:proofErr w:type="spellEnd"/>
      <w:r w:rsidR="00303292">
        <w:t xml:space="preserve"> can configure a UE to </w:t>
      </w:r>
      <w:r w:rsidR="00EB218C">
        <w:t>consider</w:t>
      </w:r>
      <w:r w:rsidR="00303292">
        <w:t xml:space="preserve"> a cell as two different cells if the cell is configured with multi-DCI based </w:t>
      </w:r>
      <w:proofErr w:type="spellStart"/>
      <w:r w:rsidR="00303292">
        <w:t>mTRP</w:t>
      </w:r>
      <w:proofErr w:type="spellEnd"/>
      <w:r w:rsidR="00303292">
        <w:t xml:space="preserve"> (so the cell can double its BD/CCE budget).</w:t>
      </w:r>
      <w:r w:rsidR="00EB218C">
        <w:t xml:space="preserve"> Since </w:t>
      </w:r>
      <w:r w:rsidR="00C03C64">
        <w:t xml:space="preserve">Rel-17 </w:t>
      </w:r>
      <w:proofErr w:type="spellStart"/>
      <w:r w:rsidR="00C03C64">
        <w:t>eIAB</w:t>
      </w:r>
      <w:proofErr w:type="spellEnd"/>
      <w:r w:rsidR="00C03C64">
        <w:t xml:space="preserve"> </w:t>
      </w:r>
      <w:r w:rsidR="006F0398">
        <w:t xml:space="preserve">has similar demands to </w:t>
      </w:r>
      <w:r w:rsidR="00E91272">
        <w:t xml:space="preserve">have higher DCI overhead for various simultaneous operations including resource availability indication, DL power control, etc., it would be beneficial to study BD/CCE limits enhancement for </w:t>
      </w:r>
      <w:proofErr w:type="spellStart"/>
      <w:r w:rsidR="00E91272">
        <w:t>eIAB</w:t>
      </w:r>
      <w:proofErr w:type="spellEnd"/>
      <w:r w:rsidR="00E91272">
        <w:t xml:space="preserve"> as well. </w:t>
      </w:r>
      <w:r w:rsidR="00F264E3">
        <w:t xml:space="preserve">For instance, an IAB-MT can be configured to consider a cell with DU/MT simultaneous operations as &gt;1 </w:t>
      </w:r>
      <w:proofErr w:type="gramStart"/>
      <w:r w:rsidR="00F264E3">
        <w:t>cells</w:t>
      </w:r>
      <w:proofErr w:type="gramEnd"/>
      <w:r w:rsidR="00F264E3">
        <w:t xml:space="preserve"> while </w:t>
      </w:r>
      <w:r w:rsidR="00B02874">
        <w:t>a cell without simultaneous operations can still be taken into account as 1 cell.</w:t>
      </w:r>
    </w:p>
    <w:p w14:paraId="24909E32" w14:textId="5B11A114" w:rsidR="006208E5" w:rsidRDefault="006208E5" w:rsidP="001F6B73">
      <w:pPr>
        <w:spacing w:after="120"/>
      </w:pPr>
    </w:p>
    <w:p w14:paraId="4E5D6FF4" w14:textId="1DF1402F" w:rsidR="006208E5" w:rsidRDefault="00B02874" w:rsidP="00B02874">
      <w:pPr>
        <w:spacing w:after="120"/>
        <w:ind w:left="330" w:hangingChars="150" w:hanging="330"/>
      </w:pPr>
      <w:r w:rsidRPr="00B02874">
        <w:rPr>
          <w:rFonts w:hint="eastAsia"/>
          <w:b/>
        </w:rPr>
        <w:t>P</w:t>
      </w:r>
      <w:r w:rsidRPr="00B02874">
        <w:rPr>
          <w:b/>
        </w:rPr>
        <w:t>roposal 3: Study BD/CCE limits enhancement to allocate more BD/CCE budgets for the cells with simultaneous operations</w:t>
      </w:r>
      <w:r>
        <w:t>.</w:t>
      </w:r>
    </w:p>
    <w:p w14:paraId="4B381ED8" w14:textId="77777777" w:rsidR="00B02874" w:rsidRPr="00B02874" w:rsidRDefault="00B02874" w:rsidP="00B02874">
      <w:pPr>
        <w:spacing w:after="120"/>
        <w:ind w:left="330" w:hangingChars="150" w:hanging="330"/>
      </w:pPr>
    </w:p>
    <w:p w14:paraId="476D1A78" w14:textId="590B25D3" w:rsidR="00DB2605" w:rsidRDefault="00677C33" w:rsidP="00947E6C">
      <w:pPr>
        <w:pStyle w:val="2"/>
        <w:spacing w:after="120"/>
      </w:pPr>
      <w:r>
        <w:rPr>
          <w:rFonts w:hint="eastAsia"/>
        </w:rPr>
        <w:t>S</w:t>
      </w:r>
      <w:r>
        <w:t>upport of intra-carrier DC for multi-parent nodes</w:t>
      </w:r>
    </w:p>
    <w:p w14:paraId="0E7FADDF" w14:textId="008C16A2" w:rsidR="00DB2605" w:rsidRDefault="006E7AA9" w:rsidP="006E7AA9">
      <w:pPr>
        <w:pStyle w:val="maintext"/>
        <w:ind w:firstLine="440"/>
      </w:pPr>
      <w:r>
        <w:rPr>
          <w:rFonts w:hint="eastAsia"/>
        </w:rPr>
        <w:t>T</w:t>
      </w:r>
      <w:r>
        <w:t xml:space="preserve">he following agreements and FFS points on </w:t>
      </w:r>
      <w:r w:rsidR="004A6157">
        <w:t xml:space="preserve">DC scenarios for </w:t>
      </w:r>
      <w:r>
        <w:t xml:space="preserve">IAB had been made in RAN1#103-e and RAN#90-e meetings </w:t>
      </w:r>
      <w:r>
        <w:fldChar w:fldCharType="begin"/>
      </w:r>
      <w:r>
        <w:instrText xml:space="preserve"> REF _Ref61254254 \r \h </w:instrText>
      </w:r>
      <w:r>
        <w:fldChar w:fldCharType="separate"/>
      </w:r>
      <w:r>
        <w:t>[1]</w:t>
      </w:r>
      <w:r>
        <w:fldChar w:fldCharType="end"/>
      </w:r>
      <w:r>
        <w:t xml:space="preserve">, </w:t>
      </w:r>
      <w:r>
        <w:fldChar w:fldCharType="begin"/>
      </w:r>
      <w:r>
        <w:instrText xml:space="preserve"> REF _Ref61270321 \r \h </w:instrText>
      </w:r>
      <w:r>
        <w:fldChar w:fldCharType="separate"/>
      </w:r>
      <w:r>
        <w:t>[3]</w:t>
      </w:r>
      <w:r>
        <w:fldChar w:fldCharType="end"/>
      </w:r>
      <w:r>
        <w:t>:</w:t>
      </w:r>
    </w:p>
    <w:p w14:paraId="1E8E2105" w14:textId="1A1F60D7" w:rsidR="00C615C7" w:rsidRDefault="00C615C7" w:rsidP="00C615C7">
      <w:pPr>
        <w:pStyle w:val="a8"/>
        <w:keepNext/>
        <w:spacing w:after="120"/>
      </w:pPr>
      <w:r>
        <w:t xml:space="preserve">Table </w:t>
      </w:r>
      <w:fldSimple w:instr=" SEQ Table \* ARABIC ">
        <w:r w:rsidR="00F4781E">
          <w:rPr>
            <w:noProof/>
          </w:rPr>
          <w:t>4</w:t>
        </w:r>
      </w:fldSimple>
      <w:r>
        <w:t>. Agreements from RAN1#103-e</w:t>
      </w:r>
    </w:p>
    <w:tbl>
      <w:tblPr>
        <w:tblStyle w:val="a6"/>
        <w:tblW w:w="0" w:type="auto"/>
        <w:tblLook w:val="04A0" w:firstRow="1" w:lastRow="0" w:firstColumn="1" w:lastColumn="0" w:noHBand="0" w:noVBand="1"/>
      </w:tblPr>
      <w:tblGrid>
        <w:gridCol w:w="9736"/>
      </w:tblGrid>
      <w:tr w:rsidR="00C615C7" w14:paraId="3A88F39C" w14:textId="77777777" w:rsidTr="00C615C7">
        <w:tc>
          <w:tcPr>
            <w:tcW w:w="9736" w:type="dxa"/>
          </w:tcPr>
          <w:p w14:paraId="2FFFDF50" w14:textId="77777777" w:rsidR="00C615C7" w:rsidRPr="00C615C7" w:rsidRDefault="00C615C7" w:rsidP="00C615C7">
            <w:pPr>
              <w:widowControl/>
              <w:wordWrap/>
              <w:autoSpaceDE/>
              <w:autoSpaceDN/>
              <w:spacing w:afterLines="0" w:after="120" w:line="256" w:lineRule="auto"/>
              <w:jc w:val="left"/>
              <w:rPr>
                <w:rFonts w:ascii="굴림" w:eastAsia="굴림" w:hAnsi="굴림" w:cs="굴림"/>
                <w:sz w:val="20"/>
                <w:szCs w:val="24"/>
              </w:rPr>
            </w:pPr>
            <w:r w:rsidRPr="00C615C7">
              <w:rPr>
                <w:rFonts w:eastAsia="Calibri" w:cs="Times"/>
                <w:b/>
                <w:bCs/>
                <w:color w:val="000000"/>
                <w:szCs w:val="28"/>
                <w:highlight w:val="green"/>
              </w:rPr>
              <w:t>Agreement</w:t>
            </w:r>
          </w:p>
          <w:p w14:paraId="0626DA48"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t xml:space="preserve">From a RAN1 </w:t>
            </w:r>
            <w:r w:rsidRPr="00C615C7">
              <w:rPr>
                <w:rFonts w:eastAsia="Times New Roman"/>
                <w:szCs w:val="28"/>
              </w:rPr>
              <w:t xml:space="preserve">perspective, at least </w:t>
            </w:r>
            <w:r w:rsidRPr="00C615C7">
              <w:rPr>
                <w:rFonts w:eastAsia="Calibri" w:cs="Times"/>
                <w:bCs/>
                <w:szCs w:val="28"/>
              </w:rPr>
              <w:t>intra-donor multi-parent operation is supported</w:t>
            </w:r>
            <w:r w:rsidRPr="00C615C7">
              <w:rPr>
                <w:rFonts w:eastAsia="Times New Roman"/>
                <w:szCs w:val="28"/>
              </w:rPr>
              <w:t xml:space="preserve"> in </w:t>
            </w:r>
            <w:r w:rsidRPr="00C615C7">
              <w:rPr>
                <w:rFonts w:eastAsia="Times New Roman"/>
                <w:color w:val="000000"/>
                <w:szCs w:val="28"/>
              </w:rPr>
              <w:t xml:space="preserve">Rel-17 </w:t>
            </w:r>
          </w:p>
          <w:p w14:paraId="1B90A3F2" w14:textId="77777777" w:rsidR="00C615C7" w:rsidRPr="00C615C7" w:rsidRDefault="00C615C7" w:rsidP="006A6EA3">
            <w:pPr>
              <w:widowControl/>
              <w:numPr>
                <w:ilvl w:val="0"/>
                <w:numId w:val="10"/>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t>FFS: Inter-donor operation pending additional input from RAN2/RAN3</w:t>
            </w:r>
          </w:p>
          <w:p w14:paraId="16EE3FB3"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바탕"/>
                <w:color w:val="000000"/>
                <w:szCs w:val="28"/>
              </w:rPr>
              <w:t> </w:t>
            </w:r>
          </w:p>
          <w:p w14:paraId="4D0E8620"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s="Times"/>
                <w:b/>
                <w:bCs/>
                <w:color w:val="000000"/>
                <w:szCs w:val="28"/>
                <w:highlight w:val="green"/>
              </w:rPr>
              <w:t>Agreement</w:t>
            </w:r>
          </w:p>
          <w:p w14:paraId="413C5A22"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lastRenderedPageBreak/>
              <w:t xml:space="preserve">From a RAN1 perspective, resource multiplexing and coordination is supported for </w:t>
            </w:r>
            <w:r w:rsidRPr="00C615C7">
              <w:rPr>
                <w:rFonts w:eastAsia="Times New Roman"/>
                <w:szCs w:val="28"/>
              </w:rPr>
              <w:t xml:space="preserve">the following </w:t>
            </w:r>
            <w:r w:rsidRPr="00C615C7">
              <w:rPr>
                <w:rFonts w:eastAsia="Calibri" w:cs="Times"/>
                <w:bCs/>
                <w:szCs w:val="28"/>
              </w:rPr>
              <w:t>DC scenarios</w:t>
            </w:r>
            <w:r w:rsidRPr="00C615C7">
              <w:rPr>
                <w:rFonts w:eastAsia="Times New Roman"/>
                <w:szCs w:val="28"/>
              </w:rPr>
              <w:t xml:space="preserve"> in Rel-17.</w:t>
            </w:r>
          </w:p>
          <w:p w14:paraId="435AA264"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t xml:space="preserve">Inter-carrier, inter-band </w:t>
            </w:r>
          </w:p>
          <w:p w14:paraId="0714C095"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bCs/>
                <w:szCs w:val="28"/>
              </w:rPr>
              <w:t xml:space="preserve">Inter-carrier, intra-band is additionally supported at least for FR2 </w:t>
            </w:r>
          </w:p>
          <w:p w14:paraId="422CB6F9" w14:textId="77777777" w:rsidR="00C615C7" w:rsidRPr="00C615C7" w:rsidRDefault="00C615C7" w:rsidP="006A6EA3">
            <w:pPr>
              <w:widowControl/>
              <w:numPr>
                <w:ilvl w:val="1"/>
                <w:numId w:val="11"/>
              </w:numPr>
              <w:tabs>
                <w:tab w:val="num" w:pos="1440"/>
              </w:tabs>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szCs w:val="28"/>
              </w:rPr>
              <w:t>At least to the extent it reuses solutions for supporting Inter-carrier, inter-band</w:t>
            </w:r>
          </w:p>
          <w:p w14:paraId="0B3CE77A" w14:textId="221D6D32" w:rsidR="00C615C7" w:rsidRPr="00C615C7" w:rsidRDefault="00C615C7" w:rsidP="006A6EA3">
            <w:pPr>
              <w:widowControl/>
              <w:numPr>
                <w:ilvl w:val="1"/>
                <w:numId w:val="11"/>
              </w:numPr>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bCs/>
                <w:szCs w:val="28"/>
                <w:highlight w:val="yellow"/>
              </w:rPr>
              <w:t>FFS:</w:t>
            </w:r>
            <w:r w:rsidRPr="00C615C7">
              <w:rPr>
                <w:rFonts w:eastAsia="Calibri" w:cs="Times"/>
                <w:szCs w:val="28"/>
                <w:highlight w:val="yellow"/>
              </w:rPr>
              <w:t xml:space="preserve"> whether </w:t>
            </w:r>
            <w:r w:rsidRPr="00C615C7">
              <w:rPr>
                <w:rFonts w:eastAsia="Calibri" w:cs="Times"/>
                <w:bCs/>
                <w:szCs w:val="28"/>
                <w:highlight w:val="yellow"/>
              </w:rPr>
              <w:t>specific enhancements</w:t>
            </w:r>
            <w:r w:rsidRPr="00C615C7">
              <w:rPr>
                <w:rFonts w:eastAsia="Calibri" w:cs="Times"/>
                <w:szCs w:val="28"/>
                <w:highlight w:val="yellow"/>
              </w:rPr>
              <w:t xml:space="preserve"> for inter-carrier, intra-band DC are introduced in Rel-17</w:t>
            </w:r>
          </w:p>
        </w:tc>
      </w:tr>
    </w:tbl>
    <w:p w14:paraId="42BCD409" w14:textId="1FEA437F" w:rsidR="00C615C7" w:rsidRDefault="00C615C7" w:rsidP="001F6B73">
      <w:pPr>
        <w:spacing w:after="120"/>
      </w:pPr>
    </w:p>
    <w:p w14:paraId="35440642" w14:textId="5391E0F6" w:rsidR="00C615C7" w:rsidRDefault="00C615C7" w:rsidP="00C615C7">
      <w:pPr>
        <w:pStyle w:val="a8"/>
        <w:keepNext/>
        <w:spacing w:after="120"/>
      </w:pPr>
      <w:r>
        <w:t xml:space="preserve">Table </w:t>
      </w:r>
      <w:fldSimple w:instr=" SEQ Table \* ARABIC ">
        <w:r w:rsidR="00F4781E">
          <w:rPr>
            <w:noProof/>
          </w:rPr>
          <w:t>5</w:t>
        </w:r>
      </w:fldSimple>
      <w:r>
        <w:t>. A conclusion from RAN#90-e</w:t>
      </w:r>
    </w:p>
    <w:tbl>
      <w:tblPr>
        <w:tblStyle w:val="a6"/>
        <w:tblW w:w="0" w:type="auto"/>
        <w:tblLook w:val="04A0" w:firstRow="1" w:lastRow="0" w:firstColumn="1" w:lastColumn="0" w:noHBand="0" w:noVBand="1"/>
      </w:tblPr>
      <w:tblGrid>
        <w:gridCol w:w="9736"/>
      </w:tblGrid>
      <w:tr w:rsidR="00C615C7" w14:paraId="626383C8" w14:textId="77777777" w:rsidTr="00C615C7">
        <w:tc>
          <w:tcPr>
            <w:tcW w:w="9736" w:type="dxa"/>
          </w:tcPr>
          <w:p w14:paraId="5DB4F48A" w14:textId="77777777" w:rsidR="00C615C7" w:rsidRDefault="00C615C7" w:rsidP="00C615C7">
            <w:pPr>
              <w:pStyle w:val="ae"/>
              <w:wordWrap w:val="0"/>
              <w:spacing w:before="0" w:beforeAutospacing="0" w:after="120" w:afterAutospacing="0"/>
            </w:pPr>
            <w:r>
              <w:rPr>
                <w:rFonts w:ascii="Calibri" w:hAnsi="Calibri" w:cs="+mn-cs"/>
                <w:b/>
                <w:bCs/>
                <w:color w:val="000000"/>
                <w:kern w:val="24"/>
                <w:sz w:val="22"/>
                <w:szCs w:val="22"/>
                <w:lang w:val="en-GB"/>
              </w:rPr>
              <w:t>RP-202858 Moderator's summary for email discussion [90</w:t>
            </w:r>
            <w:proofErr w:type="gramStart"/>
            <w:r>
              <w:rPr>
                <w:rFonts w:ascii="Calibri" w:hAnsi="Calibri" w:cs="+mn-cs"/>
                <w:b/>
                <w:bCs/>
                <w:color w:val="000000"/>
                <w:kern w:val="24"/>
                <w:sz w:val="22"/>
                <w:szCs w:val="22"/>
                <w:lang w:val="en-GB"/>
              </w:rPr>
              <w:t>E][</w:t>
            </w:r>
            <w:proofErr w:type="gramEnd"/>
            <w:r>
              <w:rPr>
                <w:rFonts w:ascii="Calibri" w:hAnsi="Calibri" w:cs="+mn-cs"/>
                <w:b/>
                <w:bCs/>
                <w:color w:val="000000"/>
                <w:kern w:val="24"/>
                <w:sz w:val="22"/>
                <w:szCs w:val="22"/>
                <w:lang w:val="en-GB"/>
              </w:rPr>
              <w:t>29][IAB_DC]</w:t>
            </w:r>
            <w:r>
              <w:rPr>
                <w:rFonts w:ascii="Calibri" w:hAnsi="Calibri" w:cs="+mn-cs"/>
                <w:color w:val="000000"/>
                <w:kern w:val="24"/>
                <w:sz w:val="22"/>
                <w:szCs w:val="22"/>
                <w:lang w:val="en-GB"/>
              </w:rPr>
              <w:t>:</w:t>
            </w:r>
          </w:p>
          <w:p w14:paraId="02163591" w14:textId="77777777" w:rsidR="00C615C7" w:rsidRDefault="00C615C7" w:rsidP="00C615C7">
            <w:pPr>
              <w:pStyle w:val="ae"/>
              <w:wordWrap w:val="0"/>
              <w:spacing w:before="0" w:beforeAutospacing="0" w:after="120" w:afterAutospacing="0"/>
            </w:pPr>
            <w:r>
              <w:rPr>
                <w:rFonts w:ascii="Times New Roman" w:hAnsi="Times New Roman" w:cs="+mn-cs"/>
                <w:i/>
                <w:iCs/>
                <w:color w:val="000000"/>
                <w:kern w:val="24"/>
                <w:sz w:val="20"/>
                <w:szCs w:val="20"/>
                <w:lang w:val="en-GB"/>
              </w:rPr>
              <w:t>conclusion: proposal is endorsed</w:t>
            </w:r>
          </w:p>
          <w:p w14:paraId="2911B094" w14:textId="77777777" w:rsidR="00C615C7" w:rsidRDefault="00C615C7" w:rsidP="00C615C7">
            <w:pPr>
              <w:pStyle w:val="ae"/>
              <w:wordWrap w:val="0"/>
              <w:spacing w:before="0" w:beforeAutospacing="0" w:after="120" w:afterAutospacing="0"/>
            </w:pPr>
            <w:r>
              <w:rPr>
                <w:rFonts w:ascii="Calibri" w:hAnsi="Calibri" w:cs="+mn-cs"/>
                <w:color w:val="000000"/>
                <w:kern w:val="24"/>
                <w:sz w:val="22"/>
                <w:szCs w:val="22"/>
                <w:lang w:val="en-GB"/>
              </w:rPr>
              <w:t>is replaced by RAN chairman's reflector conclusion:</w:t>
            </w:r>
          </w:p>
          <w:p w14:paraId="30C3CB85" w14:textId="4359D06C" w:rsidR="00C615C7" w:rsidRPr="00C615C7" w:rsidRDefault="00C615C7" w:rsidP="00C615C7">
            <w:pPr>
              <w:pStyle w:val="ae"/>
              <w:wordWrap w:val="0"/>
              <w:spacing w:before="0" w:beforeAutospacing="0" w:after="120" w:afterAutospacing="0"/>
            </w:pPr>
            <w:r>
              <w:rPr>
                <w:rFonts w:ascii="Calibri" w:hAnsi="Calibri" w:cs="+mn-cs"/>
                <w:i/>
                <w:iCs/>
                <w:color w:val="000000"/>
                <w:kern w:val="24"/>
                <w:sz w:val="22"/>
                <w:szCs w:val="22"/>
                <w:lang w:val="en-GB"/>
              </w:rPr>
              <w:t xml:space="preserve">conclusion: RAN chairman: It seems we </w:t>
            </w:r>
            <w:r w:rsidRPr="006A6EA3">
              <w:rPr>
                <w:rFonts w:ascii="Calibri" w:hAnsi="Calibri" w:cs="+mn-cs"/>
                <w:i/>
                <w:iCs/>
                <w:color w:val="000000"/>
                <w:kern w:val="24"/>
                <w:sz w:val="22"/>
                <w:szCs w:val="22"/>
                <w:highlight w:val="yellow"/>
                <w:lang w:val="en-GB"/>
              </w:rPr>
              <w:t>do not have consensus to include intra-carrier DC for IAB at this stage</w:t>
            </w:r>
            <w:r>
              <w:rPr>
                <w:rFonts w:ascii="Calibri" w:hAnsi="Calibri" w:cs="+mn-cs"/>
                <w:i/>
                <w:iCs/>
                <w:color w:val="000000"/>
                <w:kern w:val="24"/>
                <w:sz w:val="22"/>
                <w:szCs w:val="22"/>
                <w:lang w:val="en-GB"/>
              </w:rPr>
              <w:t>. We can certainly re-visit this in a future meeting, but I would encourage the proponents to do that only if there is evidence that positions of several opposing companies have changed.</w:t>
            </w:r>
          </w:p>
        </w:tc>
      </w:tr>
    </w:tbl>
    <w:p w14:paraId="792C1289" w14:textId="2AD002D7" w:rsidR="00C615C7" w:rsidRDefault="00C615C7" w:rsidP="001F6B73">
      <w:pPr>
        <w:spacing w:after="120"/>
      </w:pPr>
    </w:p>
    <w:p w14:paraId="0909A955" w14:textId="6B74290C" w:rsidR="00C615C7" w:rsidRDefault="00457CFF" w:rsidP="00C307E0">
      <w:pPr>
        <w:pStyle w:val="maintext"/>
        <w:ind w:firstLine="440"/>
      </w:pPr>
      <w:r>
        <w:t>As copied above, three types of DC scenarios, i.e. “inter-carrier and inter-band”, “inter-carrier and intra-band”, “intra-carrier and intra-band”</w:t>
      </w:r>
      <w:r w:rsidR="00C307E0">
        <w:t xml:space="preserve">, had been discussed but RAN and RAN1 </w:t>
      </w:r>
      <w:r w:rsidR="00074DBD">
        <w:t>have</w:t>
      </w:r>
      <w:r w:rsidR="00C307E0">
        <w:t xml:space="preserve"> not f</w:t>
      </w:r>
      <w:r w:rsidR="00074DBD">
        <w:t>ou</w:t>
      </w:r>
      <w:r w:rsidR="00C307E0">
        <w:t xml:space="preserve">nd a common ground between companies yet. </w:t>
      </w:r>
      <w:r w:rsidR="004C6129">
        <w:t>From our understanding, while we try to assess whether some of the DC scenarios listed above are supported by the existing specifications or not, one of the most important part should be the supported band and band combination for DC. From the latest specifications in TS38.101-1, TS38.101-2, and TS38.101-3, we failed to see the explicit</w:t>
      </w:r>
      <w:r w:rsidR="00C0630F">
        <w:t xml:space="preserve"> descriptions on</w:t>
      </w:r>
      <w:r w:rsidR="004C6129">
        <w:t xml:space="preserve"> </w:t>
      </w:r>
      <w:r w:rsidR="00C0630F">
        <w:t xml:space="preserve">band or band combination for intra-band NR-DC. </w:t>
      </w:r>
      <w:r w:rsidR="00FA790A">
        <w:t xml:space="preserve">Consequently, it would be fair to assume that there is no NR band in which intra-band NR-DC can be operated. </w:t>
      </w:r>
    </w:p>
    <w:p w14:paraId="479F49B9" w14:textId="399A77DE" w:rsidR="00712AC1" w:rsidRDefault="00D7525A" w:rsidP="00C307E0">
      <w:pPr>
        <w:pStyle w:val="maintext"/>
        <w:ind w:firstLine="440"/>
      </w:pPr>
      <w:r>
        <w:t xml:space="preserve">As </w:t>
      </w:r>
      <w:r w:rsidR="004D4332">
        <w:t>highlighted</w:t>
      </w:r>
      <w:r>
        <w:t xml:space="preserve"> in </w:t>
      </w:r>
      <w:r>
        <w:fldChar w:fldCharType="begin"/>
      </w:r>
      <w:r>
        <w:instrText xml:space="preserve"> REF _Ref61271177 \h </w:instrText>
      </w:r>
      <w:r>
        <w:fldChar w:fldCharType="separate"/>
      </w:r>
      <w:r>
        <w:t xml:space="preserve">Table </w:t>
      </w:r>
      <w:r>
        <w:rPr>
          <w:noProof/>
        </w:rPr>
        <w:t>6</w:t>
      </w:r>
      <w:r>
        <w:fldChar w:fldCharType="end"/>
      </w:r>
      <w:r>
        <w:t xml:space="preserve">, however, </w:t>
      </w:r>
      <w:r w:rsidR="004D4332">
        <w:t>an example that a single band could be utilized for NR-DC can be one exception, although we are still not sure whether this description can be generally applied for all band or band combinations without any restriction regardless of the descriptions in TS38.101-1/-2/-3.</w:t>
      </w:r>
      <w:r w:rsidR="00612D81">
        <w:t xml:space="preserve"> </w:t>
      </w:r>
      <w:r w:rsidR="00995C11">
        <w:t>It would be worth to note</w:t>
      </w:r>
      <w:r w:rsidR="00612D81">
        <w:t xml:space="preserve"> that the terminology of “any permutations of carriers” seems hard to be applied for “intra-carrier DC” scenario, since it is stressed that this sentence stands for the case when a single band entry comprises more than two carriers. </w:t>
      </w:r>
    </w:p>
    <w:p w14:paraId="1499539E" w14:textId="44DC09CF" w:rsidR="00101511" w:rsidRDefault="00101511" w:rsidP="001F6B73">
      <w:pPr>
        <w:spacing w:after="120"/>
      </w:pPr>
    </w:p>
    <w:p w14:paraId="1C3AC46D" w14:textId="51438CC3" w:rsidR="00F4781E" w:rsidRDefault="00F4781E" w:rsidP="00F4781E">
      <w:pPr>
        <w:pStyle w:val="a8"/>
        <w:keepNext/>
        <w:spacing w:after="120"/>
      </w:pPr>
      <w:bookmarkStart w:id="5" w:name="_Ref61271177"/>
      <w:r>
        <w:t xml:space="preserve">Table </w:t>
      </w:r>
      <w:fldSimple w:instr=" SEQ Table \* ARABIC ">
        <w:r>
          <w:rPr>
            <w:noProof/>
          </w:rPr>
          <w:t>6</w:t>
        </w:r>
      </w:fldSimple>
      <w:bookmarkEnd w:id="5"/>
      <w:r>
        <w:t>. Rel-16 UE capability on asynchronous NR-DC</w:t>
      </w:r>
    </w:p>
    <w:tbl>
      <w:tblPr>
        <w:tblW w:w="9668" w:type="dxa"/>
        <w:tblCellMar>
          <w:left w:w="0" w:type="dxa"/>
          <w:right w:w="0" w:type="dxa"/>
        </w:tblCellMar>
        <w:tblLook w:val="00A0" w:firstRow="1" w:lastRow="0" w:firstColumn="1" w:lastColumn="0" w:noHBand="0" w:noVBand="0"/>
      </w:tblPr>
      <w:tblGrid>
        <w:gridCol w:w="6690"/>
        <w:gridCol w:w="779"/>
        <w:gridCol w:w="620"/>
        <w:gridCol w:w="780"/>
        <w:gridCol w:w="799"/>
      </w:tblGrid>
      <w:tr w:rsidR="00F4781E" w:rsidRPr="00F4781E" w14:paraId="564C771E"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EA1249" w14:textId="77777777" w:rsidR="00F4781E" w:rsidRPr="00F4781E" w:rsidRDefault="00F4781E" w:rsidP="00F4781E">
            <w:pPr>
              <w:widowControl/>
              <w:overflowPunct w:val="0"/>
              <w:autoSpaceDE/>
              <w:autoSpaceDN/>
              <w:spacing w:afterLines="0" w:after="12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Definitions for parameters</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CC6C9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Per</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C6D9553"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M</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064F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FDD-TDD</w:t>
            </w:r>
          </w:p>
          <w:p w14:paraId="042FF2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85EDFE"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FR1-FR2</w:t>
            </w:r>
          </w:p>
          <w:p w14:paraId="330808F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r>
      <w:tr w:rsidR="00F4781E" w:rsidRPr="00F4781E" w14:paraId="34D85EEB"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E82AB1D"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b/>
                <w:bCs/>
                <w:i/>
                <w:iCs/>
                <w:color w:val="000000"/>
                <w:kern w:val="24"/>
                <w:sz w:val="18"/>
                <w:szCs w:val="18"/>
                <w:lang w:val="en-GB"/>
              </w:rPr>
              <w:t>asyncNRDC-r16</w:t>
            </w:r>
          </w:p>
          <w:p w14:paraId="05EB62FC"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t xml:space="preserve">Indicates whether the UE supports asynchronous NR-DC with MRTD and MTTD as specified in clause 7.5 and 7.6 of TS 38.133 [5]. </w:t>
            </w:r>
            <w:r w:rsidRPr="00F4781E">
              <w:rPr>
                <w:rFonts w:ascii="Arial" w:eastAsia="Times New Roman" w:hAnsi="Arial"/>
                <w:color w:val="000000"/>
                <w:kern w:val="24"/>
                <w:sz w:val="18"/>
                <w:szCs w:val="18"/>
                <w:highlight w:val="yellow"/>
                <w:lang w:val="en-GB"/>
              </w:rPr>
              <w:t>If the band combination is comprised of a single band entry for more than two carriers, the UE shall support any permutations of carriers to CGs</w:t>
            </w:r>
            <w:r w:rsidRPr="00F4781E">
              <w:rPr>
                <w:rFonts w:ascii="Arial" w:eastAsia="Times New Roman" w:hAnsi="Arial"/>
                <w:color w:val="000000"/>
                <w:kern w:val="24"/>
                <w:sz w:val="18"/>
                <w:szCs w:val="18"/>
                <w:lang w:val="en-GB"/>
              </w:rPr>
              <w:t>.</w:t>
            </w:r>
            <w:r w:rsidRPr="00F4781E">
              <w:rPr>
                <w:rFonts w:eastAsia="Times New Roman"/>
                <w:color w:val="000000"/>
                <w:kern w:val="24"/>
                <w:sz w:val="18"/>
                <w:szCs w:val="18"/>
                <w:lang w:val="en-GB"/>
              </w:rPr>
              <w:t> </w:t>
            </w:r>
            <w:r w:rsidRPr="00F4781E">
              <w:rPr>
                <w:rFonts w:ascii="Arial" w:eastAsia="Times New Roman" w:hAnsi="Arial"/>
                <w:color w:val="000000"/>
                <w:kern w:val="24"/>
                <w:sz w:val="18"/>
                <w:szCs w:val="18"/>
                <w:lang w:val="en-GB"/>
              </w:rPr>
              <w:t xml:space="preserve"> If the band combination is comprised of at least two band entries, the carriers corresponding to a band entry shall belong to only one cell group.</w:t>
            </w:r>
          </w:p>
          <w:p w14:paraId="32412328"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t>A UE indicating this capability shall support asynchronous NR-DC configuration where all serving cells of the MCG are in FR1 and all serving cells of the SCG are in FR2.</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EE858F"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BC</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486722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FFS</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4D511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1835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r>
    </w:tbl>
    <w:p w14:paraId="10838D50" w14:textId="77777777" w:rsidR="00712AC1" w:rsidRDefault="00712AC1" w:rsidP="001F6B73">
      <w:pPr>
        <w:spacing w:after="120"/>
      </w:pPr>
    </w:p>
    <w:p w14:paraId="3B4E1BAF" w14:textId="77777777" w:rsidR="00101511" w:rsidRPr="00F62350" w:rsidRDefault="00101511" w:rsidP="00101511">
      <w:pPr>
        <w:spacing w:after="120"/>
        <w:rPr>
          <w:b/>
        </w:rPr>
      </w:pPr>
      <w:r w:rsidRPr="00F62350">
        <w:rPr>
          <w:rFonts w:hint="eastAsia"/>
          <w:b/>
        </w:rPr>
        <w:t>O</w:t>
      </w:r>
      <w:r w:rsidRPr="00F62350">
        <w:rPr>
          <w:b/>
        </w:rPr>
        <w:t>bservation 2: Intra-carrier DC has not been captured by Rel-15/-16 NR specifications</w:t>
      </w:r>
    </w:p>
    <w:p w14:paraId="3E88D573" w14:textId="77777777" w:rsidR="00101511" w:rsidRPr="00F62350" w:rsidRDefault="00101511" w:rsidP="00101511">
      <w:pPr>
        <w:pStyle w:val="a7"/>
        <w:numPr>
          <w:ilvl w:val="0"/>
          <w:numId w:val="14"/>
        </w:numPr>
        <w:spacing w:after="120"/>
        <w:ind w:leftChars="0"/>
        <w:rPr>
          <w:b/>
        </w:rPr>
      </w:pPr>
      <w:r w:rsidRPr="00F62350">
        <w:rPr>
          <w:b/>
        </w:rPr>
        <w:lastRenderedPageBreak/>
        <w:t>TS38.101-1/-2/-3 have no descriptions even for intra-band NR-DC. I.e., there is no clear NR band in which intra-band NR-DC can be operated.</w:t>
      </w:r>
    </w:p>
    <w:p w14:paraId="2271848E" w14:textId="77777777" w:rsidR="00101511" w:rsidRPr="00F62350" w:rsidRDefault="00101511" w:rsidP="00101511">
      <w:pPr>
        <w:pStyle w:val="a7"/>
        <w:numPr>
          <w:ilvl w:val="0"/>
          <w:numId w:val="14"/>
        </w:numPr>
        <w:spacing w:after="120"/>
        <w:ind w:leftChars="0"/>
        <w:rPr>
          <w:b/>
        </w:rPr>
      </w:pPr>
      <w:r w:rsidRPr="00F62350">
        <w:rPr>
          <w:b/>
        </w:rPr>
        <w:t>Rel-16 UE capability parameter “asyncNRDC-r16” clarifies UE requirements for the case when the band combination for DC is comprised of a single band entry for more than two carriers.</w:t>
      </w:r>
    </w:p>
    <w:p w14:paraId="2C39D7ED" w14:textId="77F70503" w:rsidR="00101511" w:rsidRPr="00F62350" w:rsidRDefault="00101511" w:rsidP="00101511">
      <w:pPr>
        <w:pStyle w:val="a7"/>
        <w:numPr>
          <w:ilvl w:val="1"/>
          <w:numId w:val="14"/>
        </w:numPr>
        <w:spacing w:after="120"/>
        <w:ind w:leftChars="0"/>
        <w:rPr>
          <w:b/>
        </w:rPr>
      </w:pPr>
      <w:r w:rsidRPr="00F62350">
        <w:rPr>
          <w:b/>
        </w:rPr>
        <w:t>However, it is hard to assume that the wording “any permutations of carriers” was meant to intra-carrier DC</w:t>
      </w:r>
    </w:p>
    <w:p w14:paraId="3C9CFAAA" w14:textId="6D4930D5" w:rsidR="00101511" w:rsidRDefault="00101511" w:rsidP="001F6B73">
      <w:pPr>
        <w:spacing w:after="120"/>
      </w:pPr>
    </w:p>
    <w:p w14:paraId="2BE35CDB" w14:textId="5E00FC43" w:rsidR="00101511" w:rsidRDefault="008C7F41" w:rsidP="007F2001">
      <w:pPr>
        <w:pStyle w:val="maintext"/>
        <w:ind w:firstLine="440"/>
      </w:pPr>
      <w:r>
        <w:rPr>
          <w:rFonts w:hint="eastAsia"/>
        </w:rPr>
        <w:t>A</w:t>
      </w:r>
      <w:r>
        <w:t xml:space="preserve">lthough </w:t>
      </w:r>
      <w:r w:rsidR="00FD7FF8">
        <w:t xml:space="preserve">the current specifications </w:t>
      </w:r>
      <w:r w:rsidR="00EB0301">
        <w:t xml:space="preserve">are not intended for intra-carrier DC, </w:t>
      </w:r>
      <w:r w:rsidR="007943C9">
        <w:t xml:space="preserve">it is true that intra-carrier DC is one of the most feasible solution </w:t>
      </w:r>
      <w:r w:rsidR="00053F52">
        <w:t xml:space="preserve">to allocate multiple parent nodes within a single cell. </w:t>
      </w:r>
      <w:r w:rsidR="00F703D6">
        <w:t xml:space="preserve">During Rel-17 </w:t>
      </w:r>
      <w:proofErr w:type="spellStart"/>
      <w:r w:rsidR="00F703D6">
        <w:t>eIAB</w:t>
      </w:r>
      <w:proofErr w:type="spellEnd"/>
      <w:r w:rsidR="00F703D6">
        <w:t xml:space="preserve"> discussions, one camp has raised</w:t>
      </w:r>
      <w:r w:rsidR="006F5C58">
        <w:t xml:space="preserve"> </w:t>
      </w:r>
      <w:r w:rsidR="00F703D6">
        <w:t>a</w:t>
      </w:r>
      <w:r w:rsidR="006F5C58">
        <w:t xml:space="preserve"> concern</w:t>
      </w:r>
      <w:r w:rsidR="00F703D6">
        <w:t xml:space="preserve"> that</w:t>
      </w:r>
      <w:r w:rsidR="006F5C58">
        <w:t xml:space="preserve"> (resource) coordination across parent nodes that has not been </w:t>
      </w:r>
      <w:r w:rsidR="00F703D6">
        <w:t xml:space="preserve">intensively discussed yet and it cannot be handled by the allocated TUs in Rel-17. </w:t>
      </w:r>
      <w:r w:rsidR="00F66149">
        <w:t xml:space="preserve">From our understanding, however, </w:t>
      </w:r>
      <w:r w:rsidR="00D37BDF">
        <w:t>if the IAB-MT support</w:t>
      </w:r>
      <w:r w:rsidR="007D2AEC">
        <w:t xml:space="preserve">s Rel-16 </w:t>
      </w:r>
      <w:proofErr w:type="spellStart"/>
      <w:r w:rsidR="007D2AEC">
        <w:t>mTRP</w:t>
      </w:r>
      <w:proofErr w:type="spellEnd"/>
      <w:r w:rsidR="007D2AEC">
        <w:t xml:space="preserve"> features (and potentially Rel-17 </w:t>
      </w:r>
      <w:proofErr w:type="spellStart"/>
      <w:r w:rsidR="007D2AEC">
        <w:t>mTRP</w:t>
      </w:r>
      <w:proofErr w:type="spellEnd"/>
      <w:r w:rsidR="007D2AEC">
        <w:t xml:space="preserve"> features as well), </w:t>
      </w:r>
      <w:r w:rsidR="003D3781">
        <w:t xml:space="preserve">SDM and/or FDM of resources for two parent nodes </w:t>
      </w:r>
      <w:r w:rsidR="008407A6">
        <w:t>should be doable for that IAB-MT</w:t>
      </w:r>
      <w:r w:rsidR="000F2B45">
        <w:t xml:space="preserve"> without tight coordination between the parent nodes</w:t>
      </w:r>
      <w:r w:rsidR="008407A6">
        <w:t xml:space="preserve">. </w:t>
      </w:r>
      <w:r w:rsidR="004A0FE1">
        <w:t xml:space="preserve">If it is burdensome to support one of SDM and/or FDM from a vendor perspective, then the prioritization rule for Rel-16 TEI on half duplex CA can be additionally considered </w:t>
      </w:r>
      <w:r w:rsidR="00F62350">
        <w:t>to reduce the implementation complexities.</w:t>
      </w:r>
    </w:p>
    <w:p w14:paraId="6A539353" w14:textId="2347D45C" w:rsidR="00101511" w:rsidRPr="0007638C" w:rsidRDefault="00101511" w:rsidP="001F6B73">
      <w:pPr>
        <w:spacing w:after="120"/>
        <w:rPr>
          <w:lang w:val="en-GB"/>
        </w:rPr>
      </w:pPr>
    </w:p>
    <w:p w14:paraId="718BD440" w14:textId="77777777" w:rsidR="00101511" w:rsidRPr="00F62350" w:rsidRDefault="00101511" w:rsidP="00101511">
      <w:pPr>
        <w:spacing w:after="120"/>
        <w:rPr>
          <w:b/>
        </w:rPr>
      </w:pPr>
      <w:r w:rsidRPr="00F62350">
        <w:rPr>
          <w:rFonts w:hint="eastAsia"/>
          <w:b/>
        </w:rPr>
        <w:t>P</w:t>
      </w:r>
      <w:r w:rsidRPr="00F62350">
        <w:rPr>
          <w:b/>
        </w:rPr>
        <w:t>roposal 4: Consider to handle intra-carrier DC in the future releases</w:t>
      </w:r>
    </w:p>
    <w:p w14:paraId="15AA94E8" w14:textId="1C5A7D55" w:rsidR="00101511" w:rsidRPr="00F62350" w:rsidRDefault="00101511" w:rsidP="00101511">
      <w:pPr>
        <w:pStyle w:val="a7"/>
        <w:numPr>
          <w:ilvl w:val="0"/>
          <w:numId w:val="15"/>
        </w:numPr>
        <w:spacing w:after="120"/>
        <w:ind w:leftChars="0"/>
        <w:rPr>
          <w:b/>
        </w:rPr>
      </w:pPr>
      <w:r w:rsidRPr="00F62350">
        <w:rPr>
          <w:b/>
        </w:rPr>
        <w:t>Joint operation of “</w:t>
      </w:r>
      <w:proofErr w:type="spellStart"/>
      <w:r w:rsidRPr="00F62350">
        <w:rPr>
          <w:b/>
        </w:rPr>
        <w:t>mTRP</w:t>
      </w:r>
      <w:proofErr w:type="spellEnd"/>
      <w:r w:rsidRPr="00F62350">
        <w:rPr>
          <w:b/>
        </w:rPr>
        <w:t>” + “Rel-16 TEI on half duplex CA” can be a good starting point for dual parent IAB via intra-carrier DC</w:t>
      </w:r>
    </w:p>
    <w:p w14:paraId="1971F7B3" w14:textId="77777777" w:rsidR="005F2EBC" w:rsidRPr="007F3CF2" w:rsidRDefault="005F2EB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49B4E152" w14:textId="3C8F5690" w:rsidR="00403F1D" w:rsidRPr="00403F1D" w:rsidRDefault="00403F1D" w:rsidP="00403F1D">
      <w:pPr>
        <w:spacing w:after="120"/>
        <w:ind w:left="330" w:hangingChars="150" w:hanging="330"/>
        <w:rPr>
          <w:b/>
          <w:i/>
        </w:rPr>
      </w:pPr>
      <w:r w:rsidRPr="00403F1D">
        <w:rPr>
          <w:rFonts w:hint="eastAsia"/>
          <w:b/>
          <w:i/>
        </w:rPr>
        <w:t>O</w:t>
      </w:r>
      <w:r w:rsidRPr="00403F1D">
        <w:rPr>
          <w:b/>
          <w:i/>
        </w:rPr>
        <w:t>bservation 1: The existing signaling, i.e. multiplexing information in TS38.473, can report simultaneous operation capabilities of the IAB-node “per cell”</w:t>
      </w:r>
    </w:p>
    <w:p w14:paraId="3217AA34" w14:textId="77777777" w:rsidR="00403F1D" w:rsidRPr="00403F1D" w:rsidRDefault="00403F1D" w:rsidP="00403F1D">
      <w:pPr>
        <w:spacing w:after="120"/>
        <w:rPr>
          <w:b/>
          <w:i/>
        </w:rPr>
      </w:pPr>
      <w:r w:rsidRPr="00403F1D">
        <w:rPr>
          <w:rFonts w:hint="eastAsia"/>
          <w:b/>
          <w:i/>
        </w:rPr>
        <w:t>O</w:t>
      </w:r>
      <w:r w:rsidRPr="00403F1D">
        <w:rPr>
          <w:b/>
          <w:i/>
        </w:rPr>
        <w:t>bservation 2: Intra-carrier DC has not been captured by Rel-15/-16 NR specifications</w:t>
      </w:r>
    </w:p>
    <w:p w14:paraId="50E94C6E" w14:textId="77777777" w:rsidR="00403F1D" w:rsidRPr="00403F1D" w:rsidRDefault="00403F1D" w:rsidP="00403F1D">
      <w:pPr>
        <w:pStyle w:val="a7"/>
        <w:numPr>
          <w:ilvl w:val="0"/>
          <w:numId w:val="14"/>
        </w:numPr>
        <w:spacing w:after="120"/>
        <w:ind w:leftChars="0"/>
        <w:rPr>
          <w:b/>
          <w:i/>
        </w:rPr>
      </w:pPr>
      <w:r w:rsidRPr="00403F1D">
        <w:rPr>
          <w:b/>
          <w:i/>
        </w:rPr>
        <w:t>TS38.101-1/-2/-3 have no descriptions even for intra-band NR-DC. I.e., there is no clear NR band in which intra-band NR-DC can be operated.</w:t>
      </w:r>
    </w:p>
    <w:p w14:paraId="2125F300" w14:textId="77777777" w:rsidR="00403F1D" w:rsidRPr="00403F1D" w:rsidRDefault="00403F1D" w:rsidP="00403F1D">
      <w:pPr>
        <w:pStyle w:val="a7"/>
        <w:numPr>
          <w:ilvl w:val="0"/>
          <w:numId w:val="14"/>
        </w:numPr>
        <w:spacing w:after="120"/>
        <w:ind w:leftChars="0"/>
        <w:rPr>
          <w:b/>
          <w:i/>
        </w:rPr>
      </w:pPr>
      <w:r w:rsidRPr="00403F1D">
        <w:rPr>
          <w:b/>
          <w:i/>
        </w:rPr>
        <w:t>Rel-16 UE capability parameter “asyncNRDC-r16” clarifies UE requirements for the case when the band combination for DC is comprised of a single band entry for more than two carriers.</w:t>
      </w:r>
    </w:p>
    <w:p w14:paraId="47E81513" w14:textId="77777777" w:rsidR="00403F1D" w:rsidRPr="00403F1D" w:rsidRDefault="00403F1D" w:rsidP="00403F1D">
      <w:pPr>
        <w:pStyle w:val="a7"/>
        <w:numPr>
          <w:ilvl w:val="1"/>
          <w:numId w:val="14"/>
        </w:numPr>
        <w:spacing w:after="120"/>
        <w:ind w:leftChars="0"/>
        <w:rPr>
          <w:b/>
          <w:i/>
        </w:rPr>
      </w:pPr>
      <w:r w:rsidRPr="00403F1D">
        <w:rPr>
          <w:b/>
          <w:i/>
        </w:rPr>
        <w:t>However, it is hard to assume that the wording “any permutations of carriers” was meant to intra-carrier DC</w:t>
      </w:r>
    </w:p>
    <w:p w14:paraId="6A3FF144" w14:textId="77777777" w:rsidR="00403F1D" w:rsidRPr="00403F1D" w:rsidRDefault="00403F1D" w:rsidP="00403F1D">
      <w:pPr>
        <w:spacing w:after="120"/>
        <w:rPr>
          <w:i/>
        </w:rPr>
      </w:pPr>
    </w:p>
    <w:p w14:paraId="3B34E918" w14:textId="77777777" w:rsidR="00403F1D" w:rsidRPr="00403F1D" w:rsidRDefault="00403F1D" w:rsidP="00403F1D">
      <w:pPr>
        <w:spacing w:after="120"/>
        <w:ind w:left="330" w:hangingChars="150" w:hanging="330"/>
        <w:rPr>
          <w:b/>
          <w:i/>
        </w:rPr>
      </w:pPr>
      <w:r w:rsidRPr="00403F1D">
        <w:rPr>
          <w:rFonts w:hint="eastAsia"/>
          <w:b/>
          <w:i/>
        </w:rPr>
        <w:t>P</w:t>
      </w:r>
      <w:r w:rsidRPr="00403F1D">
        <w:rPr>
          <w:b/>
          <w:i/>
        </w:rPr>
        <w:t>roposal 1: Introduce a higher-layer parameter to configure IAB-DU resource types in the frequency domain.</w:t>
      </w:r>
    </w:p>
    <w:p w14:paraId="78EE8C86" w14:textId="03ADC5F1" w:rsidR="00DB2605" w:rsidRPr="00403F1D" w:rsidRDefault="00403F1D" w:rsidP="00B90473">
      <w:pPr>
        <w:pStyle w:val="a7"/>
        <w:numPr>
          <w:ilvl w:val="0"/>
          <w:numId w:val="13"/>
        </w:numPr>
        <w:spacing w:after="120"/>
        <w:ind w:leftChars="0"/>
        <w:rPr>
          <w:b/>
          <w:i/>
        </w:rPr>
      </w:pPr>
      <w:r w:rsidRPr="00403F1D">
        <w:rPr>
          <w:b/>
          <w:i/>
        </w:rPr>
        <w:t>Granularity of the configuration should be equal to or smaller than “per cell”</w:t>
      </w:r>
    </w:p>
    <w:p w14:paraId="6264826A" w14:textId="77777777" w:rsidR="00403F1D" w:rsidRPr="00403F1D" w:rsidRDefault="00403F1D" w:rsidP="00403F1D">
      <w:pPr>
        <w:spacing w:after="120"/>
        <w:rPr>
          <w:b/>
          <w:i/>
        </w:rPr>
      </w:pPr>
      <w:r w:rsidRPr="00403F1D">
        <w:rPr>
          <w:rFonts w:hint="eastAsia"/>
          <w:b/>
          <w:i/>
        </w:rPr>
        <w:t>P</w:t>
      </w:r>
      <w:r w:rsidRPr="00403F1D">
        <w:rPr>
          <w:b/>
          <w:i/>
        </w:rPr>
        <w:t>roposal 2: Enhance DCI format 2_5 to enable frequency domain resource availability indication.</w:t>
      </w:r>
    </w:p>
    <w:p w14:paraId="44EBF992" w14:textId="77777777" w:rsidR="00403F1D" w:rsidRPr="00403F1D" w:rsidRDefault="00403F1D" w:rsidP="00403F1D">
      <w:pPr>
        <w:pStyle w:val="a7"/>
        <w:numPr>
          <w:ilvl w:val="0"/>
          <w:numId w:val="13"/>
        </w:numPr>
        <w:spacing w:after="120"/>
        <w:ind w:leftChars="0"/>
        <w:rPr>
          <w:b/>
          <w:i/>
        </w:rPr>
      </w:pPr>
      <w:r w:rsidRPr="00403F1D">
        <w:rPr>
          <w:b/>
          <w:i/>
        </w:rPr>
        <w:t xml:space="preserve">Alt.1: Extend of the mapping between values of </w:t>
      </w:r>
      <w:proofErr w:type="spellStart"/>
      <w:r w:rsidRPr="00403F1D">
        <w:rPr>
          <w:b/>
          <w:i/>
        </w:rPr>
        <w:t>resourceAvailability</w:t>
      </w:r>
      <w:proofErr w:type="spellEnd"/>
      <w:r w:rsidRPr="00403F1D">
        <w:rPr>
          <w:b/>
          <w:i/>
        </w:rPr>
        <w:t xml:space="preserve"> elements and types of soft symbol availability to frequency domain resource availability.</w:t>
      </w:r>
    </w:p>
    <w:p w14:paraId="61579C81" w14:textId="3B2212E6" w:rsidR="00DB2605" w:rsidRPr="00403F1D" w:rsidRDefault="00403F1D" w:rsidP="00B90473">
      <w:pPr>
        <w:pStyle w:val="a7"/>
        <w:numPr>
          <w:ilvl w:val="0"/>
          <w:numId w:val="13"/>
        </w:numPr>
        <w:spacing w:after="120"/>
        <w:ind w:leftChars="0"/>
        <w:rPr>
          <w:b/>
          <w:i/>
        </w:rPr>
      </w:pPr>
      <w:r w:rsidRPr="00403F1D">
        <w:rPr>
          <w:b/>
          <w:i/>
        </w:rPr>
        <w:t>Alt.2: Introduce a new RNTI to indicate frequency domain resource availability.</w:t>
      </w:r>
    </w:p>
    <w:p w14:paraId="41BA693A" w14:textId="34002B1E" w:rsidR="00403F1D" w:rsidRPr="00403F1D" w:rsidRDefault="00403F1D" w:rsidP="00403F1D">
      <w:pPr>
        <w:spacing w:after="120"/>
        <w:ind w:left="330" w:hangingChars="150" w:hanging="330"/>
        <w:rPr>
          <w:i/>
        </w:rPr>
      </w:pPr>
      <w:r w:rsidRPr="00403F1D">
        <w:rPr>
          <w:rFonts w:hint="eastAsia"/>
          <w:b/>
          <w:i/>
        </w:rPr>
        <w:t>P</w:t>
      </w:r>
      <w:r w:rsidRPr="00403F1D">
        <w:rPr>
          <w:b/>
          <w:i/>
        </w:rPr>
        <w:t xml:space="preserve">roposal 3: Study BD/CCE limits enhancement to allocate more BD/CCE budgets for the cells with </w:t>
      </w:r>
      <w:r w:rsidRPr="00403F1D">
        <w:rPr>
          <w:b/>
          <w:i/>
        </w:rPr>
        <w:lastRenderedPageBreak/>
        <w:t>simultaneous operations</w:t>
      </w:r>
      <w:r w:rsidRPr="00403F1D">
        <w:rPr>
          <w:i/>
        </w:rPr>
        <w:t>.</w:t>
      </w:r>
    </w:p>
    <w:p w14:paraId="69CB37BC" w14:textId="77777777" w:rsidR="00403F1D" w:rsidRPr="00403F1D" w:rsidRDefault="00403F1D" w:rsidP="00403F1D">
      <w:pPr>
        <w:spacing w:after="120"/>
        <w:rPr>
          <w:b/>
          <w:i/>
        </w:rPr>
      </w:pPr>
      <w:r w:rsidRPr="00403F1D">
        <w:rPr>
          <w:rFonts w:hint="eastAsia"/>
          <w:b/>
          <w:i/>
        </w:rPr>
        <w:t>P</w:t>
      </w:r>
      <w:r w:rsidRPr="00403F1D">
        <w:rPr>
          <w:b/>
          <w:i/>
        </w:rPr>
        <w:t>roposal 4: Consider to handle intra-carrier DC in the future releases</w:t>
      </w:r>
    </w:p>
    <w:p w14:paraId="342614FE" w14:textId="77777777" w:rsidR="00403F1D" w:rsidRPr="00403F1D" w:rsidRDefault="00403F1D" w:rsidP="00403F1D">
      <w:pPr>
        <w:pStyle w:val="a7"/>
        <w:numPr>
          <w:ilvl w:val="0"/>
          <w:numId w:val="15"/>
        </w:numPr>
        <w:spacing w:after="120"/>
        <w:ind w:leftChars="0"/>
        <w:rPr>
          <w:b/>
          <w:i/>
        </w:rPr>
      </w:pPr>
      <w:r w:rsidRPr="00403F1D">
        <w:rPr>
          <w:b/>
          <w:i/>
        </w:rPr>
        <w:t>Joint operation of “</w:t>
      </w:r>
      <w:proofErr w:type="spellStart"/>
      <w:r w:rsidRPr="00403F1D">
        <w:rPr>
          <w:b/>
          <w:i/>
        </w:rPr>
        <w:t>mTRP</w:t>
      </w:r>
      <w:proofErr w:type="spellEnd"/>
      <w:r w:rsidRPr="00403F1D">
        <w:rPr>
          <w:b/>
          <w:i/>
        </w:rPr>
        <w:t>” + “Rel-16 TEI on half duplex CA” can be a good starting point for dual parent IAB via intra-carrier DC</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1425253B" w:rsidR="002F6510" w:rsidRDefault="00FF700B" w:rsidP="002F6510">
      <w:pPr>
        <w:pStyle w:val="a7"/>
        <w:numPr>
          <w:ilvl w:val="0"/>
          <w:numId w:val="3"/>
        </w:numPr>
        <w:spacing w:after="120"/>
        <w:ind w:leftChars="0"/>
      </w:pPr>
      <w:bookmarkStart w:id="6" w:name="_Ref61254254"/>
      <w:bookmarkStart w:id="7" w:name="_Ref498526702"/>
      <w:r>
        <w:rPr>
          <w:rFonts w:hint="eastAsia"/>
        </w:rPr>
        <w:t>3</w:t>
      </w:r>
      <w:r>
        <w:t>GPP RAN1#103-e Chairman’s notes</w:t>
      </w:r>
      <w:bookmarkEnd w:id="6"/>
    </w:p>
    <w:p w14:paraId="7011F6F6" w14:textId="458E574D" w:rsidR="00BB2D2E" w:rsidRDefault="00DD09FD" w:rsidP="002F6510">
      <w:pPr>
        <w:pStyle w:val="a7"/>
        <w:numPr>
          <w:ilvl w:val="0"/>
          <w:numId w:val="3"/>
        </w:numPr>
        <w:spacing w:after="120"/>
        <w:ind w:leftChars="0"/>
      </w:pPr>
      <w:bookmarkStart w:id="8" w:name="_Ref61256440"/>
      <w:r>
        <w:t xml:space="preserve">3GPP </w:t>
      </w:r>
      <w:r w:rsidR="00BB2D2E" w:rsidRPr="00BB2D2E">
        <w:t>TS38.473</w:t>
      </w:r>
      <w:bookmarkEnd w:id="8"/>
      <w:r>
        <w:t xml:space="preserve"> (V16.3.1) F1 application protocol (F1AP)</w:t>
      </w:r>
    </w:p>
    <w:p w14:paraId="30AF266D" w14:textId="10FE8B8A" w:rsidR="00BB2D2E" w:rsidRPr="002F6510" w:rsidRDefault="00BB2D2E" w:rsidP="002F6510">
      <w:pPr>
        <w:pStyle w:val="a7"/>
        <w:numPr>
          <w:ilvl w:val="0"/>
          <w:numId w:val="3"/>
        </w:numPr>
        <w:spacing w:after="120"/>
        <w:ind w:leftChars="0"/>
      </w:pPr>
      <w:bookmarkStart w:id="9" w:name="_Ref61270321"/>
      <w:r>
        <w:t>3GPP RAN#90-e Chairman’s notes</w:t>
      </w:r>
      <w:bookmarkEnd w:id="9"/>
    </w:p>
    <w:bookmarkEnd w:id="7"/>
    <w:p w14:paraId="4DA38047" w14:textId="77777777" w:rsidR="0058121D" w:rsidRDefault="0058121D" w:rsidP="0058121D">
      <w:pPr>
        <w:pBdr>
          <w:bottom w:val="single" w:sz="12" w:space="1" w:color="auto"/>
        </w:pBdr>
        <w:spacing w:after="120"/>
      </w:pPr>
    </w:p>
    <w:p w14:paraId="118A0628" w14:textId="77777777" w:rsidR="00044779" w:rsidRPr="00483929" w:rsidRDefault="00044779" w:rsidP="00772BE5">
      <w:pPr>
        <w:spacing w:after="120"/>
      </w:pPr>
      <w:bookmarkStart w:id="10" w:name="_GoBack"/>
      <w:bookmarkEnd w:id="10"/>
    </w:p>
    <w:sectPr w:rsidR="00044779"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9B12C" w14:textId="77777777" w:rsidR="00C62FF9" w:rsidRDefault="00C62FF9" w:rsidP="00334902">
      <w:pPr>
        <w:spacing w:after="120"/>
      </w:pPr>
      <w:r>
        <w:separator/>
      </w:r>
    </w:p>
  </w:endnote>
  <w:endnote w:type="continuationSeparator" w:id="0">
    <w:p w14:paraId="444E9683" w14:textId="77777777" w:rsidR="00C62FF9" w:rsidRDefault="00C62FF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6"/>
    <w:family w:val="auto"/>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37BDF" w:rsidRDefault="00D37BD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37BDF" w:rsidRPr="006A7292" w:rsidRDefault="00D37BD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37BDF" w:rsidRPr="006A7292" w:rsidRDefault="00D37BD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37BDF" w:rsidRDefault="00D37BD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6D02" w14:textId="77777777" w:rsidR="00C62FF9" w:rsidRDefault="00C62FF9" w:rsidP="00334902">
      <w:pPr>
        <w:spacing w:after="120"/>
      </w:pPr>
      <w:r>
        <w:separator/>
      </w:r>
    </w:p>
  </w:footnote>
  <w:footnote w:type="continuationSeparator" w:id="0">
    <w:p w14:paraId="337CCE21" w14:textId="77777777" w:rsidR="00C62FF9" w:rsidRDefault="00C62FF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37BDF" w:rsidRDefault="00D37BD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37BDF" w:rsidRDefault="00D37BD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37BDF" w:rsidRDefault="00D37BD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01493"/>
    <w:multiLevelType w:val="hybridMultilevel"/>
    <w:tmpl w:val="B6B25A50"/>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DD861E6"/>
    <w:multiLevelType w:val="hybridMultilevel"/>
    <w:tmpl w:val="225C6C1A"/>
    <w:lvl w:ilvl="0" w:tplc="A7107954">
      <w:start w:val="1"/>
      <w:numFmt w:val="bullet"/>
      <w:lvlText w:val=""/>
      <w:lvlJc w:val="left"/>
      <w:pPr>
        <w:tabs>
          <w:tab w:val="num" w:pos="292"/>
        </w:tabs>
        <w:ind w:left="292" w:hanging="360"/>
      </w:pPr>
      <w:rPr>
        <w:rFonts w:ascii="Symbol" w:hAnsi="Symbol" w:hint="default"/>
      </w:rPr>
    </w:lvl>
    <w:lvl w:ilvl="1" w:tplc="1BA284BA" w:tentative="1">
      <w:start w:val="1"/>
      <w:numFmt w:val="bullet"/>
      <w:lvlText w:val=""/>
      <w:lvlJc w:val="left"/>
      <w:pPr>
        <w:tabs>
          <w:tab w:val="num" w:pos="1012"/>
        </w:tabs>
        <w:ind w:left="1012" w:hanging="360"/>
      </w:pPr>
      <w:rPr>
        <w:rFonts w:ascii="Symbol" w:hAnsi="Symbol" w:hint="default"/>
      </w:rPr>
    </w:lvl>
    <w:lvl w:ilvl="2" w:tplc="59A8F216" w:tentative="1">
      <w:start w:val="1"/>
      <w:numFmt w:val="bullet"/>
      <w:lvlText w:val=""/>
      <w:lvlJc w:val="left"/>
      <w:pPr>
        <w:tabs>
          <w:tab w:val="num" w:pos="1732"/>
        </w:tabs>
        <w:ind w:left="1732" w:hanging="360"/>
      </w:pPr>
      <w:rPr>
        <w:rFonts w:ascii="Symbol" w:hAnsi="Symbol" w:hint="default"/>
      </w:rPr>
    </w:lvl>
    <w:lvl w:ilvl="3" w:tplc="013CA9CC" w:tentative="1">
      <w:start w:val="1"/>
      <w:numFmt w:val="bullet"/>
      <w:lvlText w:val=""/>
      <w:lvlJc w:val="left"/>
      <w:pPr>
        <w:tabs>
          <w:tab w:val="num" w:pos="2452"/>
        </w:tabs>
        <w:ind w:left="2452" w:hanging="360"/>
      </w:pPr>
      <w:rPr>
        <w:rFonts w:ascii="Symbol" w:hAnsi="Symbol" w:hint="default"/>
      </w:rPr>
    </w:lvl>
    <w:lvl w:ilvl="4" w:tplc="74601E02" w:tentative="1">
      <w:start w:val="1"/>
      <w:numFmt w:val="bullet"/>
      <w:lvlText w:val=""/>
      <w:lvlJc w:val="left"/>
      <w:pPr>
        <w:tabs>
          <w:tab w:val="num" w:pos="3172"/>
        </w:tabs>
        <w:ind w:left="3172" w:hanging="360"/>
      </w:pPr>
      <w:rPr>
        <w:rFonts w:ascii="Symbol" w:hAnsi="Symbol" w:hint="default"/>
      </w:rPr>
    </w:lvl>
    <w:lvl w:ilvl="5" w:tplc="B6300306" w:tentative="1">
      <w:start w:val="1"/>
      <w:numFmt w:val="bullet"/>
      <w:lvlText w:val=""/>
      <w:lvlJc w:val="left"/>
      <w:pPr>
        <w:tabs>
          <w:tab w:val="num" w:pos="3892"/>
        </w:tabs>
        <w:ind w:left="3892" w:hanging="360"/>
      </w:pPr>
      <w:rPr>
        <w:rFonts w:ascii="Symbol" w:hAnsi="Symbol" w:hint="default"/>
      </w:rPr>
    </w:lvl>
    <w:lvl w:ilvl="6" w:tplc="6B9EFE9E" w:tentative="1">
      <w:start w:val="1"/>
      <w:numFmt w:val="bullet"/>
      <w:lvlText w:val=""/>
      <w:lvlJc w:val="left"/>
      <w:pPr>
        <w:tabs>
          <w:tab w:val="num" w:pos="4612"/>
        </w:tabs>
        <w:ind w:left="4612" w:hanging="360"/>
      </w:pPr>
      <w:rPr>
        <w:rFonts w:ascii="Symbol" w:hAnsi="Symbol" w:hint="default"/>
      </w:rPr>
    </w:lvl>
    <w:lvl w:ilvl="7" w:tplc="A4DE7FC8" w:tentative="1">
      <w:start w:val="1"/>
      <w:numFmt w:val="bullet"/>
      <w:lvlText w:val=""/>
      <w:lvlJc w:val="left"/>
      <w:pPr>
        <w:tabs>
          <w:tab w:val="num" w:pos="5332"/>
        </w:tabs>
        <w:ind w:left="5332" w:hanging="360"/>
      </w:pPr>
      <w:rPr>
        <w:rFonts w:ascii="Symbol" w:hAnsi="Symbol" w:hint="default"/>
      </w:rPr>
    </w:lvl>
    <w:lvl w:ilvl="8" w:tplc="9EC0BC6A" w:tentative="1">
      <w:start w:val="1"/>
      <w:numFmt w:val="bullet"/>
      <w:lvlText w:val=""/>
      <w:lvlJc w:val="left"/>
      <w:pPr>
        <w:tabs>
          <w:tab w:val="num" w:pos="6052"/>
        </w:tabs>
        <w:ind w:left="6052" w:hanging="360"/>
      </w:pPr>
      <w:rPr>
        <w:rFonts w:ascii="Symbol" w:hAnsi="Symbol" w:hint="default"/>
      </w:rPr>
    </w:lvl>
  </w:abstractNum>
  <w:abstractNum w:abstractNumId="9"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727C6"/>
    <w:multiLevelType w:val="hybridMultilevel"/>
    <w:tmpl w:val="460CB9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7A24C4"/>
    <w:multiLevelType w:val="hybridMultilevel"/>
    <w:tmpl w:val="3ECEDB22"/>
    <w:lvl w:ilvl="0" w:tplc="544E9572">
      <w:start w:val="1"/>
      <w:numFmt w:val="bullet"/>
      <w:lvlText w:val=""/>
      <w:lvlJc w:val="left"/>
      <w:pPr>
        <w:tabs>
          <w:tab w:val="num" w:pos="78"/>
        </w:tabs>
        <w:ind w:left="78" w:hanging="360"/>
      </w:pPr>
      <w:rPr>
        <w:rFonts w:ascii="Symbol" w:hAnsi="Symbol" w:hint="default"/>
      </w:rPr>
    </w:lvl>
    <w:lvl w:ilvl="1" w:tplc="D27452AA">
      <w:numFmt w:val="bullet"/>
      <w:lvlText w:val="o"/>
      <w:lvlJc w:val="left"/>
      <w:pPr>
        <w:tabs>
          <w:tab w:val="num" w:pos="798"/>
        </w:tabs>
        <w:ind w:left="798" w:hanging="360"/>
      </w:pPr>
      <w:rPr>
        <w:rFonts w:ascii="Courier New" w:hAnsi="Courier New" w:hint="default"/>
      </w:rPr>
    </w:lvl>
    <w:lvl w:ilvl="2" w:tplc="AD68E870" w:tentative="1">
      <w:start w:val="1"/>
      <w:numFmt w:val="bullet"/>
      <w:lvlText w:val=""/>
      <w:lvlJc w:val="left"/>
      <w:pPr>
        <w:tabs>
          <w:tab w:val="num" w:pos="1518"/>
        </w:tabs>
        <w:ind w:left="1518" w:hanging="360"/>
      </w:pPr>
      <w:rPr>
        <w:rFonts w:ascii="Symbol" w:hAnsi="Symbol" w:hint="default"/>
      </w:rPr>
    </w:lvl>
    <w:lvl w:ilvl="3" w:tplc="9B407EA6" w:tentative="1">
      <w:start w:val="1"/>
      <w:numFmt w:val="bullet"/>
      <w:lvlText w:val=""/>
      <w:lvlJc w:val="left"/>
      <w:pPr>
        <w:tabs>
          <w:tab w:val="num" w:pos="2238"/>
        </w:tabs>
        <w:ind w:left="2238" w:hanging="360"/>
      </w:pPr>
      <w:rPr>
        <w:rFonts w:ascii="Symbol" w:hAnsi="Symbol" w:hint="default"/>
      </w:rPr>
    </w:lvl>
    <w:lvl w:ilvl="4" w:tplc="05EEC156" w:tentative="1">
      <w:start w:val="1"/>
      <w:numFmt w:val="bullet"/>
      <w:lvlText w:val=""/>
      <w:lvlJc w:val="left"/>
      <w:pPr>
        <w:tabs>
          <w:tab w:val="num" w:pos="2958"/>
        </w:tabs>
        <w:ind w:left="2958" w:hanging="360"/>
      </w:pPr>
      <w:rPr>
        <w:rFonts w:ascii="Symbol" w:hAnsi="Symbol" w:hint="default"/>
      </w:rPr>
    </w:lvl>
    <w:lvl w:ilvl="5" w:tplc="93C46D96" w:tentative="1">
      <w:start w:val="1"/>
      <w:numFmt w:val="bullet"/>
      <w:lvlText w:val=""/>
      <w:lvlJc w:val="left"/>
      <w:pPr>
        <w:tabs>
          <w:tab w:val="num" w:pos="3678"/>
        </w:tabs>
        <w:ind w:left="3678" w:hanging="360"/>
      </w:pPr>
      <w:rPr>
        <w:rFonts w:ascii="Symbol" w:hAnsi="Symbol" w:hint="default"/>
      </w:rPr>
    </w:lvl>
    <w:lvl w:ilvl="6" w:tplc="9C3E753C" w:tentative="1">
      <w:start w:val="1"/>
      <w:numFmt w:val="bullet"/>
      <w:lvlText w:val=""/>
      <w:lvlJc w:val="left"/>
      <w:pPr>
        <w:tabs>
          <w:tab w:val="num" w:pos="4398"/>
        </w:tabs>
        <w:ind w:left="4398" w:hanging="360"/>
      </w:pPr>
      <w:rPr>
        <w:rFonts w:ascii="Symbol" w:hAnsi="Symbol" w:hint="default"/>
      </w:rPr>
    </w:lvl>
    <w:lvl w:ilvl="7" w:tplc="FBDA82B2" w:tentative="1">
      <w:start w:val="1"/>
      <w:numFmt w:val="bullet"/>
      <w:lvlText w:val=""/>
      <w:lvlJc w:val="left"/>
      <w:pPr>
        <w:tabs>
          <w:tab w:val="num" w:pos="5118"/>
        </w:tabs>
        <w:ind w:left="5118" w:hanging="360"/>
      </w:pPr>
      <w:rPr>
        <w:rFonts w:ascii="Symbol" w:hAnsi="Symbol" w:hint="default"/>
      </w:rPr>
    </w:lvl>
    <w:lvl w:ilvl="8" w:tplc="46F45E2A" w:tentative="1">
      <w:start w:val="1"/>
      <w:numFmt w:val="bullet"/>
      <w:lvlText w:val=""/>
      <w:lvlJc w:val="left"/>
      <w:pPr>
        <w:tabs>
          <w:tab w:val="num" w:pos="5838"/>
        </w:tabs>
        <w:ind w:left="5838" w:hanging="360"/>
      </w:pPr>
      <w:rPr>
        <w:rFonts w:ascii="Symbol" w:hAnsi="Symbol" w:hint="default"/>
      </w:rPr>
    </w:lvl>
  </w:abstractNum>
  <w:num w:numId="1">
    <w:abstractNumId w:val="10"/>
  </w:num>
  <w:num w:numId="2">
    <w:abstractNumId w:val="12"/>
  </w:num>
  <w:num w:numId="3">
    <w:abstractNumId w:val="1"/>
  </w:num>
  <w:num w:numId="4">
    <w:abstractNumId w:val="2"/>
  </w:num>
  <w:num w:numId="5">
    <w:abstractNumId w:val="13"/>
  </w:num>
  <w:num w:numId="6">
    <w:abstractNumId w:val="0"/>
  </w:num>
  <w:num w:numId="7">
    <w:abstractNumId w:val="5"/>
  </w:num>
  <w:num w:numId="8">
    <w:abstractNumId w:val="7"/>
  </w:num>
  <w:num w:numId="9">
    <w:abstractNumId w:val="9"/>
  </w:num>
  <w:num w:numId="10">
    <w:abstractNumId w:val="8"/>
  </w:num>
  <w:num w:numId="11">
    <w:abstractNumId w:val="15"/>
  </w:num>
  <w:num w:numId="12">
    <w:abstractNumId w:val="6"/>
  </w:num>
  <w:num w:numId="13">
    <w:abstractNumId w:val="4"/>
  </w:num>
  <w:num w:numId="14">
    <w:abstractNumId w:val="3"/>
  </w:num>
  <w:num w:numId="15">
    <w:abstractNumId w:val="11"/>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AF8"/>
    <w:rsid w:val="0000307F"/>
    <w:rsid w:val="0000376C"/>
    <w:rsid w:val="00006680"/>
    <w:rsid w:val="00007735"/>
    <w:rsid w:val="00007A46"/>
    <w:rsid w:val="00015077"/>
    <w:rsid w:val="000154B5"/>
    <w:rsid w:val="000157C6"/>
    <w:rsid w:val="00015CA1"/>
    <w:rsid w:val="00015D6A"/>
    <w:rsid w:val="000174C7"/>
    <w:rsid w:val="000179E3"/>
    <w:rsid w:val="00020746"/>
    <w:rsid w:val="00025107"/>
    <w:rsid w:val="0002516B"/>
    <w:rsid w:val="0002548E"/>
    <w:rsid w:val="00030B93"/>
    <w:rsid w:val="000311F5"/>
    <w:rsid w:val="000315DF"/>
    <w:rsid w:val="00031702"/>
    <w:rsid w:val="0003175D"/>
    <w:rsid w:val="00032260"/>
    <w:rsid w:val="000326A6"/>
    <w:rsid w:val="00033287"/>
    <w:rsid w:val="000351A3"/>
    <w:rsid w:val="00040705"/>
    <w:rsid w:val="0004095F"/>
    <w:rsid w:val="00041080"/>
    <w:rsid w:val="00041B62"/>
    <w:rsid w:val="00042060"/>
    <w:rsid w:val="0004249A"/>
    <w:rsid w:val="000436E9"/>
    <w:rsid w:val="00044597"/>
    <w:rsid w:val="00044779"/>
    <w:rsid w:val="000467AA"/>
    <w:rsid w:val="000503B8"/>
    <w:rsid w:val="00051334"/>
    <w:rsid w:val="00051369"/>
    <w:rsid w:val="00051DC7"/>
    <w:rsid w:val="00053517"/>
    <w:rsid w:val="00053F52"/>
    <w:rsid w:val="0005471B"/>
    <w:rsid w:val="00054D15"/>
    <w:rsid w:val="00055C2D"/>
    <w:rsid w:val="0005698B"/>
    <w:rsid w:val="000572EB"/>
    <w:rsid w:val="00057D87"/>
    <w:rsid w:val="0006140F"/>
    <w:rsid w:val="00061DC4"/>
    <w:rsid w:val="00062940"/>
    <w:rsid w:val="00062D1F"/>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34D3"/>
    <w:rsid w:val="0007417A"/>
    <w:rsid w:val="00074DBD"/>
    <w:rsid w:val="00075E97"/>
    <w:rsid w:val="00076217"/>
    <w:rsid w:val="0007638C"/>
    <w:rsid w:val="00076876"/>
    <w:rsid w:val="00076EA8"/>
    <w:rsid w:val="000804D3"/>
    <w:rsid w:val="0008099F"/>
    <w:rsid w:val="0008301D"/>
    <w:rsid w:val="0008379C"/>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924"/>
    <w:rsid w:val="000B1CA5"/>
    <w:rsid w:val="000B433D"/>
    <w:rsid w:val="000B4E8A"/>
    <w:rsid w:val="000B6AB4"/>
    <w:rsid w:val="000B74C6"/>
    <w:rsid w:val="000B7B24"/>
    <w:rsid w:val="000B7E23"/>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696A"/>
    <w:rsid w:val="000D6B46"/>
    <w:rsid w:val="000E07B8"/>
    <w:rsid w:val="000E312E"/>
    <w:rsid w:val="000E354C"/>
    <w:rsid w:val="000E3588"/>
    <w:rsid w:val="000E476D"/>
    <w:rsid w:val="000E6747"/>
    <w:rsid w:val="000E7395"/>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100242"/>
    <w:rsid w:val="001002CE"/>
    <w:rsid w:val="00100A7C"/>
    <w:rsid w:val="00101511"/>
    <w:rsid w:val="00101D82"/>
    <w:rsid w:val="0010209C"/>
    <w:rsid w:val="001020AC"/>
    <w:rsid w:val="00104026"/>
    <w:rsid w:val="00104A7E"/>
    <w:rsid w:val="00106180"/>
    <w:rsid w:val="00106612"/>
    <w:rsid w:val="00106F3A"/>
    <w:rsid w:val="00111068"/>
    <w:rsid w:val="001110E7"/>
    <w:rsid w:val="001113F1"/>
    <w:rsid w:val="001121D6"/>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2159"/>
    <w:rsid w:val="00133A46"/>
    <w:rsid w:val="00133AC8"/>
    <w:rsid w:val="00134698"/>
    <w:rsid w:val="001347DC"/>
    <w:rsid w:val="00136051"/>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40E3"/>
    <w:rsid w:val="0019478B"/>
    <w:rsid w:val="00194E68"/>
    <w:rsid w:val="0019501F"/>
    <w:rsid w:val="001970A1"/>
    <w:rsid w:val="00197752"/>
    <w:rsid w:val="001A0093"/>
    <w:rsid w:val="001A036F"/>
    <w:rsid w:val="001A1264"/>
    <w:rsid w:val="001A1DE0"/>
    <w:rsid w:val="001A2F29"/>
    <w:rsid w:val="001A3227"/>
    <w:rsid w:val="001A3813"/>
    <w:rsid w:val="001A570A"/>
    <w:rsid w:val="001A5871"/>
    <w:rsid w:val="001A65BE"/>
    <w:rsid w:val="001A6D05"/>
    <w:rsid w:val="001A7060"/>
    <w:rsid w:val="001A7F6F"/>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5290"/>
    <w:rsid w:val="001C5A19"/>
    <w:rsid w:val="001C6093"/>
    <w:rsid w:val="001C73A6"/>
    <w:rsid w:val="001C7F9C"/>
    <w:rsid w:val="001D0C2E"/>
    <w:rsid w:val="001D0F55"/>
    <w:rsid w:val="001D11BC"/>
    <w:rsid w:val="001D2635"/>
    <w:rsid w:val="001D26AD"/>
    <w:rsid w:val="001D3258"/>
    <w:rsid w:val="001D4741"/>
    <w:rsid w:val="001D4A4F"/>
    <w:rsid w:val="001D4BA9"/>
    <w:rsid w:val="001D5AA5"/>
    <w:rsid w:val="001D709A"/>
    <w:rsid w:val="001E06E9"/>
    <w:rsid w:val="001E092A"/>
    <w:rsid w:val="001E1985"/>
    <w:rsid w:val="001E1B05"/>
    <w:rsid w:val="001E283F"/>
    <w:rsid w:val="001E7059"/>
    <w:rsid w:val="001E70F7"/>
    <w:rsid w:val="001E71D5"/>
    <w:rsid w:val="001E78E7"/>
    <w:rsid w:val="001F08A9"/>
    <w:rsid w:val="001F1672"/>
    <w:rsid w:val="001F1F2B"/>
    <w:rsid w:val="001F27F2"/>
    <w:rsid w:val="001F2C56"/>
    <w:rsid w:val="001F33A5"/>
    <w:rsid w:val="001F3620"/>
    <w:rsid w:val="001F3A15"/>
    <w:rsid w:val="001F47A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47A8"/>
    <w:rsid w:val="00224EEE"/>
    <w:rsid w:val="00225992"/>
    <w:rsid w:val="002259B4"/>
    <w:rsid w:val="00230071"/>
    <w:rsid w:val="00230380"/>
    <w:rsid w:val="00231E44"/>
    <w:rsid w:val="00231F7F"/>
    <w:rsid w:val="00232FD2"/>
    <w:rsid w:val="00234BDF"/>
    <w:rsid w:val="00236A0E"/>
    <w:rsid w:val="00240717"/>
    <w:rsid w:val="0024091E"/>
    <w:rsid w:val="002410BF"/>
    <w:rsid w:val="002412DD"/>
    <w:rsid w:val="00241B21"/>
    <w:rsid w:val="00241D9D"/>
    <w:rsid w:val="0024233C"/>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C37"/>
    <w:rsid w:val="00286CF6"/>
    <w:rsid w:val="0028761E"/>
    <w:rsid w:val="002878F0"/>
    <w:rsid w:val="002905A7"/>
    <w:rsid w:val="00290848"/>
    <w:rsid w:val="00290A4F"/>
    <w:rsid w:val="002917A0"/>
    <w:rsid w:val="00293257"/>
    <w:rsid w:val="00296D59"/>
    <w:rsid w:val="00297449"/>
    <w:rsid w:val="002A1047"/>
    <w:rsid w:val="002A202E"/>
    <w:rsid w:val="002A2210"/>
    <w:rsid w:val="002A2935"/>
    <w:rsid w:val="002A30A1"/>
    <w:rsid w:val="002A3976"/>
    <w:rsid w:val="002A448F"/>
    <w:rsid w:val="002A45BA"/>
    <w:rsid w:val="002A610A"/>
    <w:rsid w:val="002A69A4"/>
    <w:rsid w:val="002A727B"/>
    <w:rsid w:val="002A7A0D"/>
    <w:rsid w:val="002A7C2F"/>
    <w:rsid w:val="002A7E22"/>
    <w:rsid w:val="002A7FDA"/>
    <w:rsid w:val="002B0D62"/>
    <w:rsid w:val="002B10B3"/>
    <w:rsid w:val="002B265D"/>
    <w:rsid w:val="002B28AB"/>
    <w:rsid w:val="002B3E98"/>
    <w:rsid w:val="002B3F4B"/>
    <w:rsid w:val="002B4812"/>
    <w:rsid w:val="002B4903"/>
    <w:rsid w:val="002B716F"/>
    <w:rsid w:val="002B77C9"/>
    <w:rsid w:val="002B7E9B"/>
    <w:rsid w:val="002C2901"/>
    <w:rsid w:val="002C3DD0"/>
    <w:rsid w:val="002C3FFD"/>
    <w:rsid w:val="002C4879"/>
    <w:rsid w:val="002C4A86"/>
    <w:rsid w:val="002C5D5F"/>
    <w:rsid w:val="002C6210"/>
    <w:rsid w:val="002C7399"/>
    <w:rsid w:val="002C78DF"/>
    <w:rsid w:val="002C7FB4"/>
    <w:rsid w:val="002D1C5B"/>
    <w:rsid w:val="002D2585"/>
    <w:rsid w:val="002D2A7E"/>
    <w:rsid w:val="002D35A4"/>
    <w:rsid w:val="002D4400"/>
    <w:rsid w:val="002D4B09"/>
    <w:rsid w:val="002D5259"/>
    <w:rsid w:val="002D5A96"/>
    <w:rsid w:val="002D5E99"/>
    <w:rsid w:val="002D5FCE"/>
    <w:rsid w:val="002D71A1"/>
    <w:rsid w:val="002D77CA"/>
    <w:rsid w:val="002D7EA8"/>
    <w:rsid w:val="002E125F"/>
    <w:rsid w:val="002E264F"/>
    <w:rsid w:val="002E2842"/>
    <w:rsid w:val="002E2CF6"/>
    <w:rsid w:val="002E35B0"/>
    <w:rsid w:val="002E48B5"/>
    <w:rsid w:val="002E5FB5"/>
    <w:rsid w:val="002E6E34"/>
    <w:rsid w:val="002E6EF3"/>
    <w:rsid w:val="002E78FC"/>
    <w:rsid w:val="002E7AA2"/>
    <w:rsid w:val="002F14B7"/>
    <w:rsid w:val="002F37E3"/>
    <w:rsid w:val="002F3FF1"/>
    <w:rsid w:val="002F4127"/>
    <w:rsid w:val="002F53FB"/>
    <w:rsid w:val="002F5DB5"/>
    <w:rsid w:val="002F6241"/>
    <w:rsid w:val="002F6510"/>
    <w:rsid w:val="002F6C47"/>
    <w:rsid w:val="002F6FC9"/>
    <w:rsid w:val="002F710F"/>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214FD"/>
    <w:rsid w:val="00321CFD"/>
    <w:rsid w:val="00323440"/>
    <w:rsid w:val="003234C1"/>
    <w:rsid w:val="00323CF3"/>
    <w:rsid w:val="00325770"/>
    <w:rsid w:val="003263BA"/>
    <w:rsid w:val="00327452"/>
    <w:rsid w:val="00327817"/>
    <w:rsid w:val="00327EBA"/>
    <w:rsid w:val="00331660"/>
    <w:rsid w:val="0033268C"/>
    <w:rsid w:val="00332E00"/>
    <w:rsid w:val="00333287"/>
    <w:rsid w:val="00334457"/>
    <w:rsid w:val="00334667"/>
    <w:rsid w:val="00334902"/>
    <w:rsid w:val="00336009"/>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1F6D"/>
    <w:rsid w:val="00351F7B"/>
    <w:rsid w:val="00353AAB"/>
    <w:rsid w:val="00353C13"/>
    <w:rsid w:val="00354371"/>
    <w:rsid w:val="0035553E"/>
    <w:rsid w:val="00355924"/>
    <w:rsid w:val="00355A5B"/>
    <w:rsid w:val="00356455"/>
    <w:rsid w:val="003564DA"/>
    <w:rsid w:val="00356ADD"/>
    <w:rsid w:val="00356F18"/>
    <w:rsid w:val="00361CED"/>
    <w:rsid w:val="0036223D"/>
    <w:rsid w:val="003623E6"/>
    <w:rsid w:val="0036261C"/>
    <w:rsid w:val="0036298A"/>
    <w:rsid w:val="003633B0"/>
    <w:rsid w:val="0036518C"/>
    <w:rsid w:val="00365672"/>
    <w:rsid w:val="00365A76"/>
    <w:rsid w:val="00365EE7"/>
    <w:rsid w:val="00366782"/>
    <w:rsid w:val="0036797A"/>
    <w:rsid w:val="003702C6"/>
    <w:rsid w:val="00371404"/>
    <w:rsid w:val="003734A6"/>
    <w:rsid w:val="003747B4"/>
    <w:rsid w:val="00375275"/>
    <w:rsid w:val="00376076"/>
    <w:rsid w:val="00376792"/>
    <w:rsid w:val="00377588"/>
    <w:rsid w:val="00380595"/>
    <w:rsid w:val="00380C0A"/>
    <w:rsid w:val="00380D78"/>
    <w:rsid w:val="00382E1A"/>
    <w:rsid w:val="00383CF4"/>
    <w:rsid w:val="00383DD5"/>
    <w:rsid w:val="00384AC1"/>
    <w:rsid w:val="00386199"/>
    <w:rsid w:val="003864A2"/>
    <w:rsid w:val="003909B6"/>
    <w:rsid w:val="00391C7F"/>
    <w:rsid w:val="00392F1C"/>
    <w:rsid w:val="00393829"/>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7A65"/>
    <w:rsid w:val="003B7DA3"/>
    <w:rsid w:val="003C0990"/>
    <w:rsid w:val="003C1798"/>
    <w:rsid w:val="003C1872"/>
    <w:rsid w:val="003C2E31"/>
    <w:rsid w:val="003C37C4"/>
    <w:rsid w:val="003C41A8"/>
    <w:rsid w:val="003C45DE"/>
    <w:rsid w:val="003C46B2"/>
    <w:rsid w:val="003C48AE"/>
    <w:rsid w:val="003C502F"/>
    <w:rsid w:val="003C57F1"/>
    <w:rsid w:val="003D0511"/>
    <w:rsid w:val="003D286D"/>
    <w:rsid w:val="003D2C87"/>
    <w:rsid w:val="003D2ECB"/>
    <w:rsid w:val="003D3781"/>
    <w:rsid w:val="003D4328"/>
    <w:rsid w:val="003D4B44"/>
    <w:rsid w:val="003D503A"/>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F1C8E"/>
    <w:rsid w:val="003F309B"/>
    <w:rsid w:val="003F651F"/>
    <w:rsid w:val="003F6640"/>
    <w:rsid w:val="003F783C"/>
    <w:rsid w:val="00401B46"/>
    <w:rsid w:val="00401BD1"/>
    <w:rsid w:val="00402050"/>
    <w:rsid w:val="00402082"/>
    <w:rsid w:val="00403576"/>
    <w:rsid w:val="00403F1D"/>
    <w:rsid w:val="00403FA7"/>
    <w:rsid w:val="00404113"/>
    <w:rsid w:val="004054A4"/>
    <w:rsid w:val="00405901"/>
    <w:rsid w:val="00405C70"/>
    <w:rsid w:val="00406253"/>
    <w:rsid w:val="00406B49"/>
    <w:rsid w:val="00406F53"/>
    <w:rsid w:val="00407052"/>
    <w:rsid w:val="00407977"/>
    <w:rsid w:val="00407FD3"/>
    <w:rsid w:val="0041118F"/>
    <w:rsid w:val="004116D0"/>
    <w:rsid w:val="00412751"/>
    <w:rsid w:val="00412799"/>
    <w:rsid w:val="00412A5F"/>
    <w:rsid w:val="00414A12"/>
    <w:rsid w:val="004157AC"/>
    <w:rsid w:val="00415B9A"/>
    <w:rsid w:val="00415EAE"/>
    <w:rsid w:val="004171B5"/>
    <w:rsid w:val="00417A2D"/>
    <w:rsid w:val="00417BB3"/>
    <w:rsid w:val="00420C05"/>
    <w:rsid w:val="0042337D"/>
    <w:rsid w:val="00424475"/>
    <w:rsid w:val="00424F02"/>
    <w:rsid w:val="00431862"/>
    <w:rsid w:val="004322A8"/>
    <w:rsid w:val="004345B4"/>
    <w:rsid w:val="0043599A"/>
    <w:rsid w:val="0044013F"/>
    <w:rsid w:val="004403B1"/>
    <w:rsid w:val="00441D6D"/>
    <w:rsid w:val="00443A4E"/>
    <w:rsid w:val="004454BD"/>
    <w:rsid w:val="00445E68"/>
    <w:rsid w:val="004474D2"/>
    <w:rsid w:val="00450818"/>
    <w:rsid w:val="00450ADD"/>
    <w:rsid w:val="00453A22"/>
    <w:rsid w:val="00453D50"/>
    <w:rsid w:val="00453ECB"/>
    <w:rsid w:val="004540A2"/>
    <w:rsid w:val="004544F3"/>
    <w:rsid w:val="00454500"/>
    <w:rsid w:val="004551FA"/>
    <w:rsid w:val="00455491"/>
    <w:rsid w:val="00456937"/>
    <w:rsid w:val="00457406"/>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C26"/>
    <w:rsid w:val="00477474"/>
    <w:rsid w:val="004800FC"/>
    <w:rsid w:val="00480543"/>
    <w:rsid w:val="00483490"/>
    <w:rsid w:val="004837AE"/>
    <w:rsid w:val="00483929"/>
    <w:rsid w:val="00485013"/>
    <w:rsid w:val="0048589C"/>
    <w:rsid w:val="00485D65"/>
    <w:rsid w:val="00486F2A"/>
    <w:rsid w:val="00490560"/>
    <w:rsid w:val="004910D2"/>
    <w:rsid w:val="00491B2A"/>
    <w:rsid w:val="00492372"/>
    <w:rsid w:val="00492D7B"/>
    <w:rsid w:val="00494ADD"/>
    <w:rsid w:val="00494EAF"/>
    <w:rsid w:val="00495A47"/>
    <w:rsid w:val="00495B87"/>
    <w:rsid w:val="004965B0"/>
    <w:rsid w:val="00496A26"/>
    <w:rsid w:val="00497658"/>
    <w:rsid w:val="00497943"/>
    <w:rsid w:val="00497D24"/>
    <w:rsid w:val="004A0FE1"/>
    <w:rsid w:val="004A18D0"/>
    <w:rsid w:val="004A3385"/>
    <w:rsid w:val="004A33E1"/>
    <w:rsid w:val="004A469F"/>
    <w:rsid w:val="004A5365"/>
    <w:rsid w:val="004A5BB3"/>
    <w:rsid w:val="004A6157"/>
    <w:rsid w:val="004A72BF"/>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4332"/>
    <w:rsid w:val="004D48B8"/>
    <w:rsid w:val="004D5727"/>
    <w:rsid w:val="004D5865"/>
    <w:rsid w:val="004D620B"/>
    <w:rsid w:val="004D6C4F"/>
    <w:rsid w:val="004D7B4C"/>
    <w:rsid w:val="004E1661"/>
    <w:rsid w:val="004E1BBB"/>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664"/>
    <w:rsid w:val="004F38C3"/>
    <w:rsid w:val="004F5748"/>
    <w:rsid w:val="00500885"/>
    <w:rsid w:val="0050157D"/>
    <w:rsid w:val="005040FE"/>
    <w:rsid w:val="005047B7"/>
    <w:rsid w:val="00504E1B"/>
    <w:rsid w:val="005058FF"/>
    <w:rsid w:val="005067D7"/>
    <w:rsid w:val="0050787E"/>
    <w:rsid w:val="00510231"/>
    <w:rsid w:val="00510795"/>
    <w:rsid w:val="00510A1D"/>
    <w:rsid w:val="00510C77"/>
    <w:rsid w:val="00510CA6"/>
    <w:rsid w:val="00510EB0"/>
    <w:rsid w:val="005119E5"/>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30AF7"/>
    <w:rsid w:val="00531CAB"/>
    <w:rsid w:val="005322F5"/>
    <w:rsid w:val="0053438A"/>
    <w:rsid w:val="005346D5"/>
    <w:rsid w:val="00535F8C"/>
    <w:rsid w:val="005365F0"/>
    <w:rsid w:val="00536CC9"/>
    <w:rsid w:val="00537032"/>
    <w:rsid w:val="0054020C"/>
    <w:rsid w:val="005421E2"/>
    <w:rsid w:val="0054242F"/>
    <w:rsid w:val="00544005"/>
    <w:rsid w:val="00545CEF"/>
    <w:rsid w:val="00547934"/>
    <w:rsid w:val="00547CB7"/>
    <w:rsid w:val="00550785"/>
    <w:rsid w:val="00550B14"/>
    <w:rsid w:val="00551113"/>
    <w:rsid w:val="00552029"/>
    <w:rsid w:val="0055373A"/>
    <w:rsid w:val="00553CB3"/>
    <w:rsid w:val="00553FFA"/>
    <w:rsid w:val="00555597"/>
    <w:rsid w:val="00555FBC"/>
    <w:rsid w:val="00556001"/>
    <w:rsid w:val="0055642C"/>
    <w:rsid w:val="00556976"/>
    <w:rsid w:val="00556F56"/>
    <w:rsid w:val="0055753B"/>
    <w:rsid w:val="00557883"/>
    <w:rsid w:val="00557F67"/>
    <w:rsid w:val="0056103A"/>
    <w:rsid w:val="005618D0"/>
    <w:rsid w:val="00562931"/>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374E"/>
    <w:rsid w:val="00585001"/>
    <w:rsid w:val="00585189"/>
    <w:rsid w:val="00591DBF"/>
    <w:rsid w:val="00594A6F"/>
    <w:rsid w:val="00597E27"/>
    <w:rsid w:val="00597EB9"/>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53B8"/>
    <w:rsid w:val="005D6167"/>
    <w:rsid w:val="005D6874"/>
    <w:rsid w:val="005E042B"/>
    <w:rsid w:val="005E05B8"/>
    <w:rsid w:val="005E07BD"/>
    <w:rsid w:val="005E44EA"/>
    <w:rsid w:val="005E4D27"/>
    <w:rsid w:val="005E5139"/>
    <w:rsid w:val="005E5A87"/>
    <w:rsid w:val="005E68C4"/>
    <w:rsid w:val="005E6EFF"/>
    <w:rsid w:val="005E6FC9"/>
    <w:rsid w:val="005F0539"/>
    <w:rsid w:val="005F104B"/>
    <w:rsid w:val="005F1816"/>
    <w:rsid w:val="005F20FA"/>
    <w:rsid w:val="005F2EBC"/>
    <w:rsid w:val="005F3D0A"/>
    <w:rsid w:val="005F3F71"/>
    <w:rsid w:val="005F4C4C"/>
    <w:rsid w:val="005F5347"/>
    <w:rsid w:val="005F6416"/>
    <w:rsid w:val="005F7655"/>
    <w:rsid w:val="006003CE"/>
    <w:rsid w:val="00601402"/>
    <w:rsid w:val="006032ED"/>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5692"/>
    <w:rsid w:val="00676D12"/>
    <w:rsid w:val="00677705"/>
    <w:rsid w:val="00677C33"/>
    <w:rsid w:val="00677DCE"/>
    <w:rsid w:val="00680382"/>
    <w:rsid w:val="00681B60"/>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B26"/>
    <w:rsid w:val="006A6EA3"/>
    <w:rsid w:val="006A7025"/>
    <w:rsid w:val="006A7292"/>
    <w:rsid w:val="006A7F7C"/>
    <w:rsid w:val="006B240F"/>
    <w:rsid w:val="006B3947"/>
    <w:rsid w:val="006B4948"/>
    <w:rsid w:val="006B5502"/>
    <w:rsid w:val="006B571A"/>
    <w:rsid w:val="006B57BF"/>
    <w:rsid w:val="006B686A"/>
    <w:rsid w:val="006B710B"/>
    <w:rsid w:val="006C2065"/>
    <w:rsid w:val="006C2D05"/>
    <w:rsid w:val="006C3235"/>
    <w:rsid w:val="006C361D"/>
    <w:rsid w:val="006C3709"/>
    <w:rsid w:val="006C38B0"/>
    <w:rsid w:val="006C4638"/>
    <w:rsid w:val="006C4A24"/>
    <w:rsid w:val="006C68E7"/>
    <w:rsid w:val="006C7465"/>
    <w:rsid w:val="006D01D2"/>
    <w:rsid w:val="006D16C8"/>
    <w:rsid w:val="006D1783"/>
    <w:rsid w:val="006D28CB"/>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68C"/>
    <w:rsid w:val="00700DCB"/>
    <w:rsid w:val="00701D5B"/>
    <w:rsid w:val="00703B66"/>
    <w:rsid w:val="00704172"/>
    <w:rsid w:val="00704C72"/>
    <w:rsid w:val="007056A0"/>
    <w:rsid w:val="007058C5"/>
    <w:rsid w:val="00705BC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20251"/>
    <w:rsid w:val="00722AEE"/>
    <w:rsid w:val="00722DDC"/>
    <w:rsid w:val="00722F4A"/>
    <w:rsid w:val="007237BD"/>
    <w:rsid w:val="007241D5"/>
    <w:rsid w:val="007245E6"/>
    <w:rsid w:val="0072607D"/>
    <w:rsid w:val="00727EBB"/>
    <w:rsid w:val="00730AF7"/>
    <w:rsid w:val="00731A17"/>
    <w:rsid w:val="00731DBD"/>
    <w:rsid w:val="00732641"/>
    <w:rsid w:val="00732B66"/>
    <w:rsid w:val="0073342B"/>
    <w:rsid w:val="00733642"/>
    <w:rsid w:val="007364F1"/>
    <w:rsid w:val="007401A2"/>
    <w:rsid w:val="007410B7"/>
    <w:rsid w:val="007424A2"/>
    <w:rsid w:val="007428DD"/>
    <w:rsid w:val="00743980"/>
    <w:rsid w:val="00745F39"/>
    <w:rsid w:val="0074639F"/>
    <w:rsid w:val="00746441"/>
    <w:rsid w:val="00747800"/>
    <w:rsid w:val="007503E9"/>
    <w:rsid w:val="007503F8"/>
    <w:rsid w:val="007509B8"/>
    <w:rsid w:val="007513E1"/>
    <w:rsid w:val="00751E20"/>
    <w:rsid w:val="0075262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9F8"/>
    <w:rsid w:val="00770693"/>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406A"/>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3C9"/>
    <w:rsid w:val="00794787"/>
    <w:rsid w:val="00794E1A"/>
    <w:rsid w:val="00795090"/>
    <w:rsid w:val="0079640F"/>
    <w:rsid w:val="00796F69"/>
    <w:rsid w:val="007A09CE"/>
    <w:rsid w:val="007A231C"/>
    <w:rsid w:val="007A2CDF"/>
    <w:rsid w:val="007A35A8"/>
    <w:rsid w:val="007A51E1"/>
    <w:rsid w:val="007A6CF4"/>
    <w:rsid w:val="007A74BC"/>
    <w:rsid w:val="007B06FE"/>
    <w:rsid w:val="007B0E42"/>
    <w:rsid w:val="007B10D6"/>
    <w:rsid w:val="007B1412"/>
    <w:rsid w:val="007B3496"/>
    <w:rsid w:val="007B3BF6"/>
    <w:rsid w:val="007B7255"/>
    <w:rsid w:val="007C0CEE"/>
    <w:rsid w:val="007C2AAC"/>
    <w:rsid w:val="007C3397"/>
    <w:rsid w:val="007C3522"/>
    <w:rsid w:val="007C4D69"/>
    <w:rsid w:val="007C4E44"/>
    <w:rsid w:val="007C53B1"/>
    <w:rsid w:val="007C5C27"/>
    <w:rsid w:val="007C6D13"/>
    <w:rsid w:val="007C773C"/>
    <w:rsid w:val="007D07C7"/>
    <w:rsid w:val="007D207A"/>
    <w:rsid w:val="007D2864"/>
    <w:rsid w:val="007D2AEC"/>
    <w:rsid w:val="007D392A"/>
    <w:rsid w:val="007D48E4"/>
    <w:rsid w:val="007D4DB9"/>
    <w:rsid w:val="007D5268"/>
    <w:rsid w:val="007D5399"/>
    <w:rsid w:val="007D6BCC"/>
    <w:rsid w:val="007D6E98"/>
    <w:rsid w:val="007D754B"/>
    <w:rsid w:val="007E09C5"/>
    <w:rsid w:val="007E2012"/>
    <w:rsid w:val="007E2F02"/>
    <w:rsid w:val="007E5762"/>
    <w:rsid w:val="007E5CF7"/>
    <w:rsid w:val="007E63B0"/>
    <w:rsid w:val="007F2001"/>
    <w:rsid w:val="007F23B4"/>
    <w:rsid w:val="007F3CF2"/>
    <w:rsid w:val="007F5C32"/>
    <w:rsid w:val="007F64C5"/>
    <w:rsid w:val="00800346"/>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07A6"/>
    <w:rsid w:val="00841603"/>
    <w:rsid w:val="0084208B"/>
    <w:rsid w:val="00844293"/>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2B1"/>
    <w:rsid w:val="00857C92"/>
    <w:rsid w:val="00860CBA"/>
    <w:rsid w:val="008610F9"/>
    <w:rsid w:val="0086125F"/>
    <w:rsid w:val="00861331"/>
    <w:rsid w:val="008631DC"/>
    <w:rsid w:val="008637BC"/>
    <w:rsid w:val="008641A8"/>
    <w:rsid w:val="0086455C"/>
    <w:rsid w:val="0086460B"/>
    <w:rsid w:val="0086540C"/>
    <w:rsid w:val="00866591"/>
    <w:rsid w:val="00867667"/>
    <w:rsid w:val="008703A3"/>
    <w:rsid w:val="008703BA"/>
    <w:rsid w:val="00870C8F"/>
    <w:rsid w:val="0087157E"/>
    <w:rsid w:val="00872429"/>
    <w:rsid w:val="0087364E"/>
    <w:rsid w:val="008742C8"/>
    <w:rsid w:val="00874377"/>
    <w:rsid w:val="008743F6"/>
    <w:rsid w:val="0087445A"/>
    <w:rsid w:val="008754E7"/>
    <w:rsid w:val="008779C4"/>
    <w:rsid w:val="00877A05"/>
    <w:rsid w:val="00880211"/>
    <w:rsid w:val="00880FE8"/>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D09"/>
    <w:rsid w:val="008924D8"/>
    <w:rsid w:val="0089313F"/>
    <w:rsid w:val="00894196"/>
    <w:rsid w:val="00894987"/>
    <w:rsid w:val="0089595E"/>
    <w:rsid w:val="00895B46"/>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2524"/>
    <w:rsid w:val="008B2D5C"/>
    <w:rsid w:val="008B3CD4"/>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C7F41"/>
    <w:rsid w:val="008D02B8"/>
    <w:rsid w:val="008D0D29"/>
    <w:rsid w:val="008D230A"/>
    <w:rsid w:val="008D4BA7"/>
    <w:rsid w:val="008D52AF"/>
    <w:rsid w:val="008D5493"/>
    <w:rsid w:val="008D610B"/>
    <w:rsid w:val="008D731B"/>
    <w:rsid w:val="008D73AE"/>
    <w:rsid w:val="008D7EAC"/>
    <w:rsid w:val="008E0514"/>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63C"/>
    <w:rsid w:val="00902E38"/>
    <w:rsid w:val="009036BC"/>
    <w:rsid w:val="009036F8"/>
    <w:rsid w:val="00903FD1"/>
    <w:rsid w:val="0090401D"/>
    <w:rsid w:val="0090696E"/>
    <w:rsid w:val="00906E18"/>
    <w:rsid w:val="00907C88"/>
    <w:rsid w:val="00907E7C"/>
    <w:rsid w:val="00910043"/>
    <w:rsid w:val="00910860"/>
    <w:rsid w:val="0091237C"/>
    <w:rsid w:val="00912787"/>
    <w:rsid w:val="00914026"/>
    <w:rsid w:val="00914FB2"/>
    <w:rsid w:val="00915215"/>
    <w:rsid w:val="00915408"/>
    <w:rsid w:val="0091540C"/>
    <w:rsid w:val="00916E31"/>
    <w:rsid w:val="00920050"/>
    <w:rsid w:val="009201EC"/>
    <w:rsid w:val="00920346"/>
    <w:rsid w:val="00920C9D"/>
    <w:rsid w:val="00921CCB"/>
    <w:rsid w:val="009224B6"/>
    <w:rsid w:val="00922A05"/>
    <w:rsid w:val="0092415E"/>
    <w:rsid w:val="009241DD"/>
    <w:rsid w:val="00924812"/>
    <w:rsid w:val="0092595C"/>
    <w:rsid w:val="009259B5"/>
    <w:rsid w:val="00926396"/>
    <w:rsid w:val="00926742"/>
    <w:rsid w:val="00927E17"/>
    <w:rsid w:val="00930890"/>
    <w:rsid w:val="00930ED8"/>
    <w:rsid w:val="00931A93"/>
    <w:rsid w:val="009351E4"/>
    <w:rsid w:val="00937576"/>
    <w:rsid w:val="00937E34"/>
    <w:rsid w:val="0094072A"/>
    <w:rsid w:val="00941952"/>
    <w:rsid w:val="00941D3C"/>
    <w:rsid w:val="00942534"/>
    <w:rsid w:val="00943F72"/>
    <w:rsid w:val="00944280"/>
    <w:rsid w:val="0094447B"/>
    <w:rsid w:val="00944C7A"/>
    <w:rsid w:val="00945558"/>
    <w:rsid w:val="00946176"/>
    <w:rsid w:val="009469FA"/>
    <w:rsid w:val="00947492"/>
    <w:rsid w:val="00947E6C"/>
    <w:rsid w:val="00947F57"/>
    <w:rsid w:val="00951BE9"/>
    <w:rsid w:val="009529AE"/>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7029F"/>
    <w:rsid w:val="009706EA"/>
    <w:rsid w:val="00970F65"/>
    <w:rsid w:val="00971ABD"/>
    <w:rsid w:val="00972085"/>
    <w:rsid w:val="00973332"/>
    <w:rsid w:val="0097347E"/>
    <w:rsid w:val="009738D0"/>
    <w:rsid w:val="009749EC"/>
    <w:rsid w:val="00974D57"/>
    <w:rsid w:val="00974F24"/>
    <w:rsid w:val="00975D7A"/>
    <w:rsid w:val="00976510"/>
    <w:rsid w:val="0097694D"/>
    <w:rsid w:val="00977179"/>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EE0"/>
    <w:rsid w:val="009A0AEB"/>
    <w:rsid w:val="009A111D"/>
    <w:rsid w:val="009A2426"/>
    <w:rsid w:val="009A2A39"/>
    <w:rsid w:val="009A2CF2"/>
    <w:rsid w:val="009A3069"/>
    <w:rsid w:val="009A3D1E"/>
    <w:rsid w:val="009A430B"/>
    <w:rsid w:val="009A4A69"/>
    <w:rsid w:val="009A5967"/>
    <w:rsid w:val="009A686A"/>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502F"/>
    <w:rsid w:val="009C5B0F"/>
    <w:rsid w:val="009C5BD7"/>
    <w:rsid w:val="009C614E"/>
    <w:rsid w:val="009C67BF"/>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6DA"/>
    <w:rsid w:val="009E78A6"/>
    <w:rsid w:val="009F0384"/>
    <w:rsid w:val="009F041C"/>
    <w:rsid w:val="009F0CCC"/>
    <w:rsid w:val="009F13EA"/>
    <w:rsid w:val="009F1B28"/>
    <w:rsid w:val="009F274C"/>
    <w:rsid w:val="009F3119"/>
    <w:rsid w:val="009F39A2"/>
    <w:rsid w:val="009F3BF5"/>
    <w:rsid w:val="009F5C0A"/>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570BA"/>
    <w:rsid w:val="00A60125"/>
    <w:rsid w:val="00A60A91"/>
    <w:rsid w:val="00A61F62"/>
    <w:rsid w:val="00A62A0D"/>
    <w:rsid w:val="00A63793"/>
    <w:rsid w:val="00A646A9"/>
    <w:rsid w:val="00A64B88"/>
    <w:rsid w:val="00A64E55"/>
    <w:rsid w:val="00A65047"/>
    <w:rsid w:val="00A65430"/>
    <w:rsid w:val="00A65BAA"/>
    <w:rsid w:val="00A66C12"/>
    <w:rsid w:val="00A66E58"/>
    <w:rsid w:val="00A66EEF"/>
    <w:rsid w:val="00A67AE9"/>
    <w:rsid w:val="00A7011D"/>
    <w:rsid w:val="00A703EF"/>
    <w:rsid w:val="00A706D3"/>
    <w:rsid w:val="00A70C03"/>
    <w:rsid w:val="00A70EE3"/>
    <w:rsid w:val="00A70FF1"/>
    <w:rsid w:val="00A710C3"/>
    <w:rsid w:val="00A71203"/>
    <w:rsid w:val="00A7176E"/>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B065D"/>
    <w:rsid w:val="00AB0D38"/>
    <w:rsid w:val="00AB2209"/>
    <w:rsid w:val="00AB3CB6"/>
    <w:rsid w:val="00AB3E2F"/>
    <w:rsid w:val="00AB47C4"/>
    <w:rsid w:val="00AB4885"/>
    <w:rsid w:val="00AB4BCD"/>
    <w:rsid w:val="00AB4D72"/>
    <w:rsid w:val="00AB4F21"/>
    <w:rsid w:val="00AB5593"/>
    <w:rsid w:val="00AB5CBE"/>
    <w:rsid w:val="00AB64A5"/>
    <w:rsid w:val="00AB7380"/>
    <w:rsid w:val="00AB78D4"/>
    <w:rsid w:val="00AC1958"/>
    <w:rsid w:val="00AC1C93"/>
    <w:rsid w:val="00AC290E"/>
    <w:rsid w:val="00AC396F"/>
    <w:rsid w:val="00AC39AE"/>
    <w:rsid w:val="00AC4395"/>
    <w:rsid w:val="00AC4B48"/>
    <w:rsid w:val="00AC6266"/>
    <w:rsid w:val="00AC65C2"/>
    <w:rsid w:val="00AC769A"/>
    <w:rsid w:val="00AC7B36"/>
    <w:rsid w:val="00AC7B50"/>
    <w:rsid w:val="00AD073B"/>
    <w:rsid w:val="00AD0EA5"/>
    <w:rsid w:val="00AD1A4F"/>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F33"/>
    <w:rsid w:val="00B01FDA"/>
    <w:rsid w:val="00B02874"/>
    <w:rsid w:val="00B03406"/>
    <w:rsid w:val="00B0386B"/>
    <w:rsid w:val="00B04419"/>
    <w:rsid w:val="00B05533"/>
    <w:rsid w:val="00B057B9"/>
    <w:rsid w:val="00B0781F"/>
    <w:rsid w:val="00B07BCF"/>
    <w:rsid w:val="00B11CD4"/>
    <w:rsid w:val="00B11D55"/>
    <w:rsid w:val="00B12130"/>
    <w:rsid w:val="00B122B9"/>
    <w:rsid w:val="00B122F0"/>
    <w:rsid w:val="00B12BB0"/>
    <w:rsid w:val="00B12E8A"/>
    <w:rsid w:val="00B13465"/>
    <w:rsid w:val="00B137BA"/>
    <w:rsid w:val="00B13A7B"/>
    <w:rsid w:val="00B14196"/>
    <w:rsid w:val="00B144CB"/>
    <w:rsid w:val="00B14735"/>
    <w:rsid w:val="00B16461"/>
    <w:rsid w:val="00B16D35"/>
    <w:rsid w:val="00B176CF"/>
    <w:rsid w:val="00B20159"/>
    <w:rsid w:val="00B20CA6"/>
    <w:rsid w:val="00B22919"/>
    <w:rsid w:val="00B22B6B"/>
    <w:rsid w:val="00B2337B"/>
    <w:rsid w:val="00B24D8F"/>
    <w:rsid w:val="00B25753"/>
    <w:rsid w:val="00B30319"/>
    <w:rsid w:val="00B30EAC"/>
    <w:rsid w:val="00B3132D"/>
    <w:rsid w:val="00B320A1"/>
    <w:rsid w:val="00B32B5D"/>
    <w:rsid w:val="00B33475"/>
    <w:rsid w:val="00B335C3"/>
    <w:rsid w:val="00B34AC5"/>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1F9"/>
    <w:rsid w:val="00B53309"/>
    <w:rsid w:val="00B544A1"/>
    <w:rsid w:val="00B54694"/>
    <w:rsid w:val="00B55714"/>
    <w:rsid w:val="00B5770A"/>
    <w:rsid w:val="00B6017C"/>
    <w:rsid w:val="00B60182"/>
    <w:rsid w:val="00B60744"/>
    <w:rsid w:val="00B60999"/>
    <w:rsid w:val="00B6102F"/>
    <w:rsid w:val="00B627F3"/>
    <w:rsid w:val="00B62EAD"/>
    <w:rsid w:val="00B634B6"/>
    <w:rsid w:val="00B6372F"/>
    <w:rsid w:val="00B640DF"/>
    <w:rsid w:val="00B647D5"/>
    <w:rsid w:val="00B65BDE"/>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8039F"/>
    <w:rsid w:val="00B811DC"/>
    <w:rsid w:val="00B81D19"/>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558B"/>
    <w:rsid w:val="00BA5CBE"/>
    <w:rsid w:val="00BA62F4"/>
    <w:rsid w:val="00BA6CF4"/>
    <w:rsid w:val="00BA7EC1"/>
    <w:rsid w:val="00BB2D2E"/>
    <w:rsid w:val="00BB3755"/>
    <w:rsid w:val="00BB4462"/>
    <w:rsid w:val="00BB44AF"/>
    <w:rsid w:val="00BB54B2"/>
    <w:rsid w:val="00BB72A1"/>
    <w:rsid w:val="00BB7701"/>
    <w:rsid w:val="00BB7BD5"/>
    <w:rsid w:val="00BB7C82"/>
    <w:rsid w:val="00BC0366"/>
    <w:rsid w:val="00BC0929"/>
    <w:rsid w:val="00BC16E6"/>
    <w:rsid w:val="00BC1B0C"/>
    <w:rsid w:val="00BC30C4"/>
    <w:rsid w:val="00BC5393"/>
    <w:rsid w:val="00BC540A"/>
    <w:rsid w:val="00BC63A5"/>
    <w:rsid w:val="00BC7E19"/>
    <w:rsid w:val="00BD2D6D"/>
    <w:rsid w:val="00BD32DC"/>
    <w:rsid w:val="00BD44EB"/>
    <w:rsid w:val="00BD53B2"/>
    <w:rsid w:val="00BD6F1C"/>
    <w:rsid w:val="00BD70A1"/>
    <w:rsid w:val="00BD7A6D"/>
    <w:rsid w:val="00BE37C3"/>
    <w:rsid w:val="00BE43ED"/>
    <w:rsid w:val="00BE579B"/>
    <w:rsid w:val="00BE59F3"/>
    <w:rsid w:val="00BE5D95"/>
    <w:rsid w:val="00BE6D06"/>
    <w:rsid w:val="00BF33DF"/>
    <w:rsid w:val="00BF4816"/>
    <w:rsid w:val="00BF4D46"/>
    <w:rsid w:val="00BF78EC"/>
    <w:rsid w:val="00BF7FC3"/>
    <w:rsid w:val="00C00792"/>
    <w:rsid w:val="00C02590"/>
    <w:rsid w:val="00C03B69"/>
    <w:rsid w:val="00C03C64"/>
    <w:rsid w:val="00C04E5C"/>
    <w:rsid w:val="00C05655"/>
    <w:rsid w:val="00C0630F"/>
    <w:rsid w:val="00C067F6"/>
    <w:rsid w:val="00C068BF"/>
    <w:rsid w:val="00C072F3"/>
    <w:rsid w:val="00C106AC"/>
    <w:rsid w:val="00C1072D"/>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718D"/>
    <w:rsid w:val="00C37B9E"/>
    <w:rsid w:val="00C402CA"/>
    <w:rsid w:val="00C41BB0"/>
    <w:rsid w:val="00C4340C"/>
    <w:rsid w:val="00C43932"/>
    <w:rsid w:val="00C43AC6"/>
    <w:rsid w:val="00C43C0B"/>
    <w:rsid w:val="00C44C2D"/>
    <w:rsid w:val="00C453F4"/>
    <w:rsid w:val="00C464BA"/>
    <w:rsid w:val="00C471B7"/>
    <w:rsid w:val="00C47256"/>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4E8D"/>
    <w:rsid w:val="00C65CD7"/>
    <w:rsid w:val="00C670F5"/>
    <w:rsid w:val="00C67833"/>
    <w:rsid w:val="00C71917"/>
    <w:rsid w:val="00C7233D"/>
    <w:rsid w:val="00C72D41"/>
    <w:rsid w:val="00C7325B"/>
    <w:rsid w:val="00C73FE9"/>
    <w:rsid w:val="00C76C5F"/>
    <w:rsid w:val="00C81BCC"/>
    <w:rsid w:val="00C82053"/>
    <w:rsid w:val="00C825DA"/>
    <w:rsid w:val="00C82BC6"/>
    <w:rsid w:val="00C82E7B"/>
    <w:rsid w:val="00C82F57"/>
    <w:rsid w:val="00C8331C"/>
    <w:rsid w:val="00C84641"/>
    <w:rsid w:val="00C84D2C"/>
    <w:rsid w:val="00C84F8B"/>
    <w:rsid w:val="00C85095"/>
    <w:rsid w:val="00C85E8D"/>
    <w:rsid w:val="00C85FB0"/>
    <w:rsid w:val="00C86A70"/>
    <w:rsid w:val="00C86CF4"/>
    <w:rsid w:val="00C87402"/>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5865"/>
    <w:rsid w:val="00CB6416"/>
    <w:rsid w:val="00CB64D5"/>
    <w:rsid w:val="00CB785C"/>
    <w:rsid w:val="00CB7A58"/>
    <w:rsid w:val="00CC07EB"/>
    <w:rsid w:val="00CC1515"/>
    <w:rsid w:val="00CC2ECF"/>
    <w:rsid w:val="00CC3261"/>
    <w:rsid w:val="00CC4DBA"/>
    <w:rsid w:val="00CC5082"/>
    <w:rsid w:val="00CC50EA"/>
    <w:rsid w:val="00CC5DF8"/>
    <w:rsid w:val="00CC604B"/>
    <w:rsid w:val="00CC6B81"/>
    <w:rsid w:val="00CC730B"/>
    <w:rsid w:val="00CD0333"/>
    <w:rsid w:val="00CD0E90"/>
    <w:rsid w:val="00CD0EF4"/>
    <w:rsid w:val="00CD1917"/>
    <w:rsid w:val="00CD2AAF"/>
    <w:rsid w:val="00CD3989"/>
    <w:rsid w:val="00CD39F3"/>
    <w:rsid w:val="00CD3F87"/>
    <w:rsid w:val="00CD515A"/>
    <w:rsid w:val="00CD6209"/>
    <w:rsid w:val="00CD6370"/>
    <w:rsid w:val="00CD6DBA"/>
    <w:rsid w:val="00CE037F"/>
    <w:rsid w:val="00CE08FD"/>
    <w:rsid w:val="00CE14ED"/>
    <w:rsid w:val="00CE2F13"/>
    <w:rsid w:val="00CE5747"/>
    <w:rsid w:val="00CE578D"/>
    <w:rsid w:val="00CF08EE"/>
    <w:rsid w:val="00CF1241"/>
    <w:rsid w:val="00CF33AA"/>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34AD5"/>
    <w:rsid w:val="00D3591F"/>
    <w:rsid w:val="00D36919"/>
    <w:rsid w:val="00D37527"/>
    <w:rsid w:val="00D37BDF"/>
    <w:rsid w:val="00D453B3"/>
    <w:rsid w:val="00D458A3"/>
    <w:rsid w:val="00D466E0"/>
    <w:rsid w:val="00D47A15"/>
    <w:rsid w:val="00D47CA5"/>
    <w:rsid w:val="00D47CE2"/>
    <w:rsid w:val="00D47D00"/>
    <w:rsid w:val="00D50637"/>
    <w:rsid w:val="00D5164C"/>
    <w:rsid w:val="00D51DE4"/>
    <w:rsid w:val="00D520ED"/>
    <w:rsid w:val="00D546B6"/>
    <w:rsid w:val="00D54710"/>
    <w:rsid w:val="00D54B6D"/>
    <w:rsid w:val="00D55542"/>
    <w:rsid w:val="00D55743"/>
    <w:rsid w:val="00D56957"/>
    <w:rsid w:val="00D570CF"/>
    <w:rsid w:val="00D57B56"/>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5AAD"/>
    <w:rsid w:val="00D86CD3"/>
    <w:rsid w:val="00D8749C"/>
    <w:rsid w:val="00D87587"/>
    <w:rsid w:val="00D90B2F"/>
    <w:rsid w:val="00D90D72"/>
    <w:rsid w:val="00D9254A"/>
    <w:rsid w:val="00D925FA"/>
    <w:rsid w:val="00D928E2"/>
    <w:rsid w:val="00D935F8"/>
    <w:rsid w:val="00D93BBB"/>
    <w:rsid w:val="00D948E5"/>
    <w:rsid w:val="00D94953"/>
    <w:rsid w:val="00D9518D"/>
    <w:rsid w:val="00D9573F"/>
    <w:rsid w:val="00D961B5"/>
    <w:rsid w:val="00D961E2"/>
    <w:rsid w:val="00D9628D"/>
    <w:rsid w:val="00D966A6"/>
    <w:rsid w:val="00D97162"/>
    <w:rsid w:val="00D974C5"/>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9FD"/>
    <w:rsid w:val="00DD0C49"/>
    <w:rsid w:val="00DD0F79"/>
    <w:rsid w:val="00DD1713"/>
    <w:rsid w:val="00DD26F2"/>
    <w:rsid w:val="00DD57C1"/>
    <w:rsid w:val="00DD5A08"/>
    <w:rsid w:val="00DD6D54"/>
    <w:rsid w:val="00DE0B03"/>
    <w:rsid w:val="00DE165F"/>
    <w:rsid w:val="00DE3AAD"/>
    <w:rsid w:val="00DE3B5D"/>
    <w:rsid w:val="00DE3F61"/>
    <w:rsid w:val="00DE42E9"/>
    <w:rsid w:val="00DE502E"/>
    <w:rsid w:val="00DE5E1F"/>
    <w:rsid w:val="00DE6779"/>
    <w:rsid w:val="00DE7CA8"/>
    <w:rsid w:val="00DE7D53"/>
    <w:rsid w:val="00DF101C"/>
    <w:rsid w:val="00DF1642"/>
    <w:rsid w:val="00DF298B"/>
    <w:rsid w:val="00DF2B35"/>
    <w:rsid w:val="00DF2B36"/>
    <w:rsid w:val="00DF3A55"/>
    <w:rsid w:val="00DF42BC"/>
    <w:rsid w:val="00DF52B7"/>
    <w:rsid w:val="00E0010E"/>
    <w:rsid w:val="00E005A2"/>
    <w:rsid w:val="00E0141E"/>
    <w:rsid w:val="00E02B9B"/>
    <w:rsid w:val="00E02D64"/>
    <w:rsid w:val="00E033A0"/>
    <w:rsid w:val="00E03568"/>
    <w:rsid w:val="00E03CF3"/>
    <w:rsid w:val="00E04172"/>
    <w:rsid w:val="00E04E74"/>
    <w:rsid w:val="00E069E3"/>
    <w:rsid w:val="00E06D70"/>
    <w:rsid w:val="00E077E2"/>
    <w:rsid w:val="00E12145"/>
    <w:rsid w:val="00E121B1"/>
    <w:rsid w:val="00E14075"/>
    <w:rsid w:val="00E1459E"/>
    <w:rsid w:val="00E157AE"/>
    <w:rsid w:val="00E160C1"/>
    <w:rsid w:val="00E16986"/>
    <w:rsid w:val="00E16B7D"/>
    <w:rsid w:val="00E16BAD"/>
    <w:rsid w:val="00E20864"/>
    <w:rsid w:val="00E20E80"/>
    <w:rsid w:val="00E2127E"/>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B2C"/>
    <w:rsid w:val="00E37048"/>
    <w:rsid w:val="00E40580"/>
    <w:rsid w:val="00E40A42"/>
    <w:rsid w:val="00E40E02"/>
    <w:rsid w:val="00E453A2"/>
    <w:rsid w:val="00E45D06"/>
    <w:rsid w:val="00E474C5"/>
    <w:rsid w:val="00E47B70"/>
    <w:rsid w:val="00E5068E"/>
    <w:rsid w:val="00E50F80"/>
    <w:rsid w:val="00E524C6"/>
    <w:rsid w:val="00E53CFD"/>
    <w:rsid w:val="00E545BD"/>
    <w:rsid w:val="00E547D6"/>
    <w:rsid w:val="00E54890"/>
    <w:rsid w:val="00E56416"/>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7042"/>
    <w:rsid w:val="00E873B9"/>
    <w:rsid w:val="00E9024E"/>
    <w:rsid w:val="00E90368"/>
    <w:rsid w:val="00E91272"/>
    <w:rsid w:val="00E93459"/>
    <w:rsid w:val="00E9357C"/>
    <w:rsid w:val="00E93DF8"/>
    <w:rsid w:val="00E9500F"/>
    <w:rsid w:val="00E9512C"/>
    <w:rsid w:val="00E95A08"/>
    <w:rsid w:val="00E95D86"/>
    <w:rsid w:val="00E9668D"/>
    <w:rsid w:val="00E96981"/>
    <w:rsid w:val="00EA2438"/>
    <w:rsid w:val="00EA24A6"/>
    <w:rsid w:val="00EA4743"/>
    <w:rsid w:val="00EA49A8"/>
    <w:rsid w:val="00EA56C4"/>
    <w:rsid w:val="00EA6316"/>
    <w:rsid w:val="00EA6662"/>
    <w:rsid w:val="00EA6C83"/>
    <w:rsid w:val="00EA6F6B"/>
    <w:rsid w:val="00EA72DA"/>
    <w:rsid w:val="00EA77D9"/>
    <w:rsid w:val="00EA78FF"/>
    <w:rsid w:val="00EB0301"/>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DB3"/>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6DF"/>
    <w:rsid w:val="00F06EB0"/>
    <w:rsid w:val="00F07301"/>
    <w:rsid w:val="00F07335"/>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256C"/>
    <w:rsid w:val="00F22E87"/>
    <w:rsid w:val="00F23227"/>
    <w:rsid w:val="00F258CC"/>
    <w:rsid w:val="00F25E5B"/>
    <w:rsid w:val="00F264E3"/>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E4D"/>
    <w:rsid w:val="00F65054"/>
    <w:rsid w:val="00F651FB"/>
    <w:rsid w:val="00F655B0"/>
    <w:rsid w:val="00F65628"/>
    <w:rsid w:val="00F66149"/>
    <w:rsid w:val="00F700C1"/>
    <w:rsid w:val="00F703D6"/>
    <w:rsid w:val="00F71498"/>
    <w:rsid w:val="00F743BD"/>
    <w:rsid w:val="00F743EC"/>
    <w:rsid w:val="00F744E2"/>
    <w:rsid w:val="00F747C6"/>
    <w:rsid w:val="00F752C0"/>
    <w:rsid w:val="00F76C36"/>
    <w:rsid w:val="00F76C3B"/>
    <w:rsid w:val="00F775E9"/>
    <w:rsid w:val="00F8195A"/>
    <w:rsid w:val="00F8238C"/>
    <w:rsid w:val="00F8286B"/>
    <w:rsid w:val="00F830E0"/>
    <w:rsid w:val="00F83E45"/>
    <w:rsid w:val="00F853CF"/>
    <w:rsid w:val="00F858AB"/>
    <w:rsid w:val="00F86523"/>
    <w:rsid w:val="00F86BDC"/>
    <w:rsid w:val="00F86CB0"/>
    <w:rsid w:val="00F90222"/>
    <w:rsid w:val="00F917FD"/>
    <w:rsid w:val="00F92CCD"/>
    <w:rsid w:val="00F939F0"/>
    <w:rsid w:val="00F93E85"/>
    <w:rsid w:val="00F93FE8"/>
    <w:rsid w:val="00F94673"/>
    <w:rsid w:val="00F94CFA"/>
    <w:rsid w:val="00F95503"/>
    <w:rsid w:val="00F955AF"/>
    <w:rsid w:val="00F95BAC"/>
    <w:rsid w:val="00F96B21"/>
    <w:rsid w:val="00F96BD5"/>
    <w:rsid w:val="00FA02E8"/>
    <w:rsid w:val="00FA09CE"/>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F5E"/>
    <w:rsid w:val="00FC258F"/>
    <w:rsid w:val="00FC5348"/>
    <w:rsid w:val="00FC5555"/>
    <w:rsid w:val="00FC62E3"/>
    <w:rsid w:val="00FC7044"/>
    <w:rsid w:val="00FD00F5"/>
    <w:rsid w:val="00FD0951"/>
    <w:rsid w:val="00FD0CFC"/>
    <w:rsid w:val="00FD0F21"/>
    <w:rsid w:val="00FD1200"/>
    <w:rsid w:val="00FD1A0A"/>
    <w:rsid w:val="00FD329B"/>
    <w:rsid w:val="00FD39CF"/>
    <w:rsid w:val="00FD3D82"/>
    <w:rsid w:val="00FD411E"/>
    <w:rsid w:val="00FD42FC"/>
    <w:rsid w:val="00FD5FB9"/>
    <w:rsid w:val="00FD65FC"/>
    <w:rsid w:val="00FD664D"/>
    <w:rsid w:val="00FD7FF8"/>
    <w:rsid w:val="00FE1A23"/>
    <w:rsid w:val="00FE24E3"/>
    <w:rsid w:val="00FE388F"/>
    <w:rsid w:val="00FE3E73"/>
    <w:rsid w:val="00FE48DB"/>
    <w:rsid w:val="00FE5D95"/>
    <w:rsid w:val="00FE64B5"/>
    <w:rsid w:val="00FE74E6"/>
    <w:rsid w:val="00FE7BD1"/>
    <w:rsid w:val="00FF03F5"/>
    <w:rsid w:val="00FF1168"/>
    <w:rsid w:val="00FF178A"/>
    <w:rsid w:val="00FF218F"/>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E95D-D7EA-4DDA-BE5B-F12743C7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2573</Words>
  <Characters>14670</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6</cp:revision>
  <dcterms:created xsi:type="dcterms:W3CDTF">2021-01-18T01:51:00Z</dcterms:created>
  <dcterms:modified xsi:type="dcterms:W3CDTF">2021-01-18T02:08:00Z</dcterms:modified>
</cp:coreProperties>
</file>